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tblInd w:w="93" w:type="dxa"/>
        <w:tblLook w:val="04A0" w:firstRow="1" w:lastRow="0" w:firstColumn="1" w:lastColumn="0" w:noHBand="0" w:noVBand="1"/>
      </w:tblPr>
      <w:tblGrid>
        <w:gridCol w:w="10000"/>
      </w:tblGrid>
      <w:tr w:rsidR="00843933" w:rsidRPr="007D5A22" w14:paraId="5A8D604D" w14:textId="77777777" w:rsidTr="006E0788">
        <w:trPr>
          <w:trHeight w:val="402"/>
        </w:trPr>
        <w:tc>
          <w:tcPr>
            <w:tcW w:w="10000" w:type="dxa"/>
            <w:tcBorders>
              <w:top w:val="nil"/>
              <w:left w:val="nil"/>
              <w:bottom w:val="nil"/>
              <w:right w:val="nil"/>
            </w:tcBorders>
            <w:shd w:val="clear" w:color="auto" w:fill="auto"/>
            <w:noWrap/>
            <w:vAlign w:val="center"/>
            <w:hideMark/>
          </w:tcPr>
          <w:p w14:paraId="0927E51E" w14:textId="77777777" w:rsidR="00843933" w:rsidRPr="007D5A22" w:rsidRDefault="00843933" w:rsidP="006E0788">
            <w:pPr>
              <w:spacing w:after="0" w:line="240" w:lineRule="auto"/>
              <w:jc w:val="right"/>
              <w:rPr>
                <w:rFonts w:ascii="Arial" w:eastAsia="Times New Roman" w:hAnsi="Arial" w:cs="Arial"/>
                <w:i/>
                <w:iCs/>
                <w:sz w:val="18"/>
                <w:szCs w:val="18"/>
              </w:rPr>
            </w:pPr>
          </w:p>
        </w:tc>
      </w:tr>
    </w:tbl>
    <w:p w14:paraId="7CB450D9" w14:textId="77777777" w:rsidR="00C43B5A" w:rsidRDefault="00C43B5A"/>
    <w:tbl>
      <w:tblPr>
        <w:tblW w:w="10000" w:type="dxa"/>
        <w:tblInd w:w="93" w:type="dxa"/>
        <w:tblLook w:val="04A0" w:firstRow="1" w:lastRow="0" w:firstColumn="1" w:lastColumn="0" w:noHBand="0" w:noVBand="1"/>
      </w:tblPr>
      <w:tblGrid>
        <w:gridCol w:w="10000"/>
      </w:tblGrid>
      <w:tr w:rsidR="00843933" w:rsidRPr="007D5A22" w14:paraId="4EF2B61A" w14:textId="77777777" w:rsidTr="006E0788">
        <w:trPr>
          <w:trHeight w:val="799"/>
        </w:trPr>
        <w:tc>
          <w:tcPr>
            <w:tcW w:w="10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C8E7DBC" w14:textId="77777777" w:rsidR="006E0788" w:rsidRDefault="006E0788" w:rsidP="006E0788">
            <w:pPr>
              <w:spacing w:after="0" w:line="240" w:lineRule="auto"/>
              <w:jc w:val="right"/>
              <w:rPr>
                <w:rFonts w:ascii="Arial" w:eastAsia="Times New Roman" w:hAnsi="Arial" w:cs="Arial"/>
                <w:b/>
                <w:bCs/>
                <w:sz w:val="20"/>
                <w:szCs w:val="20"/>
              </w:rPr>
            </w:pPr>
            <w:r w:rsidRPr="002A77AC">
              <w:rPr>
                <w:rFonts w:ascii="Arial" w:eastAsia="Times New Roman" w:hAnsi="Arial" w:cs="Arial"/>
                <w:i/>
                <w:iCs/>
                <w:sz w:val="18"/>
                <w:szCs w:val="18"/>
                <w:highlight w:val="red"/>
              </w:rPr>
              <w:t>To be filled out in the EDPS' office</w:t>
            </w:r>
            <w:r w:rsidRPr="007D5A22">
              <w:rPr>
                <w:rFonts w:ascii="Arial" w:eastAsia="Times New Roman" w:hAnsi="Arial" w:cs="Arial"/>
                <w:b/>
                <w:bCs/>
                <w:sz w:val="20"/>
                <w:szCs w:val="20"/>
              </w:rPr>
              <w:t xml:space="preserve"> </w:t>
            </w:r>
          </w:p>
          <w:p w14:paraId="717A5429" w14:textId="77777777" w:rsidR="006E0788" w:rsidRDefault="006E0788" w:rsidP="006E0788">
            <w:pPr>
              <w:spacing w:after="0" w:line="240" w:lineRule="auto"/>
              <w:jc w:val="center"/>
              <w:rPr>
                <w:rFonts w:ascii="Arial" w:eastAsia="Times New Roman" w:hAnsi="Arial" w:cs="Arial"/>
                <w:b/>
                <w:bCs/>
                <w:sz w:val="20"/>
                <w:szCs w:val="20"/>
              </w:rPr>
            </w:pPr>
          </w:p>
          <w:p w14:paraId="7CFB91F1" w14:textId="77777777" w:rsidR="00843933" w:rsidRDefault="00843933" w:rsidP="006E0788">
            <w:pPr>
              <w:spacing w:after="0" w:line="240" w:lineRule="auto"/>
              <w:jc w:val="center"/>
              <w:rPr>
                <w:rFonts w:ascii="Arial" w:eastAsia="Times New Roman" w:hAnsi="Arial" w:cs="Arial"/>
                <w:b/>
                <w:bCs/>
                <w:sz w:val="20"/>
                <w:szCs w:val="20"/>
              </w:rPr>
            </w:pPr>
            <w:r w:rsidRPr="007D5A22">
              <w:rPr>
                <w:rFonts w:ascii="Arial" w:eastAsia="Times New Roman" w:hAnsi="Arial" w:cs="Arial"/>
                <w:b/>
                <w:bCs/>
                <w:sz w:val="20"/>
                <w:szCs w:val="20"/>
              </w:rPr>
              <w:t>REGISTER NUMBER:</w:t>
            </w:r>
          </w:p>
          <w:p w14:paraId="5A1ABDDD" w14:textId="77777777" w:rsidR="006E0788" w:rsidRPr="007D5A22" w:rsidRDefault="006E0788" w:rsidP="006E0788">
            <w:pPr>
              <w:spacing w:after="0" w:line="240" w:lineRule="auto"/>
              <w:jc w:val="center"/>
              <w:rPr>
                <w:rFonts w:ascii="Arial" w:eastAsia="Times New Roman" w:hAnsi="Arial" w:cs="Arial"/>
                <w:b/>
                <w:bCs/>
                <w:sz w:val="20"/>
                <w:szCs w:val="20"/>
              </w:rPr>
            </w:pPr>
          </w:p>
        </w:tc>
      </w:tr>
      <w:tr w:rsidR="00843933" w:rsidRPr="007D5A22" w14:paraId="672D8062" w14:textId="77777777" w:rsidTr="006E0788">
        <w:trPr>
          <w:trHeight w:val="799"/>
        </w:trPr>
        <w:tc>
          <w:tcPr>
            <w:tcW w:w="10000" w:type="dxa"/>
            <w:tcBorders>
              <w:top w:val="nil"/>
              <w:left w:val="single" w:sz="4" w:space="0" w:color="auto"/>
              <w:bottom w:val="single" w:sz="4" w:space="0" w:color="auto"/>
              <w:right w:val="single" w:sz="4" w:space="0" w:color="auto"/>
            </w:tcBorders>
            <w:shd w:val="clear" w:color="000000" w:fill="C0C0C0"/>
            <w:noWrap/>
            <w:vAlign w:val="center"/>
            <w:hideMark/>
          </w:tcPr>
          <w:p w14:paraId="5040F616" w14:textId="77777777" w:rsidR="00843933" w:rsidRPr="007D5A22" w:rsidRDefault="00843933" w:rsidP="006E0788">
            <w:pPr>
              <w:spacing w:after="0" w:line="240" w:lineRule="auto"/>
              <w:jc w:val="center"/>
              <w:rPr>
                <w:rFonts w:ascii="Arial" w:eastAsia="Times New Roman" w:hAnsi="Arial" w:cs="Arial"/>
                <w:b/>
                <w:bCs/>
                <w:sz w:val="24"/>
                <w:szCs w:val="24"/>
              </w:rPr>
            </w:pPr>
            <w:r w:rsidRPr="007D5A22">
              <w:rPr>
                <w:rFonts w:ascii="Arial" w:eastAsia="Times New Roman" w:hAnsi="Arial" w:cs="Arial"/>
                <w:b/>
                <w:bCs/>
                <w:sz w:val="24"/>
                <w:szCs w:val="24"/>
              </w:rPr>
              <w:t>NOTIFICATION FOR PRIOR CHECKING</w:t>
            </w:r>
          </w:p>
        </w:tc>
      </w:tr>
      <w:tr w:rsidR="00843933" w:rsidRPr="007D5A22" w14:paraId="27294925" w14:textId="77777777" w:rsidTr="006E0788">
        <w:trPr>
          <w:trHeight w:val="3060"/>
        </w:trPr>
        <w:tc>
          <w:tcPr>
            <w:tcW w:w="10000" w:type="dxa"/>
            <w:tcBorders>
              <w:top w:val="nil"/>
              <w:left w:val="single" w:sz="4" w:space="0" w:color="auto"/>
              <w:bottom w:val="nil"/>
              <w:right w:val="single" w:sz="4" w:space="0" w:color="auto"/>
            </w:tcBorders>
            <w:shd w:val="clear" w:color="000000" w:fill="C0C0C0"/>
            <w:vAlign w:val="center"/>
            <w:hideMark/>
          </w:tcPr>
          <w:p w14:paraId="57A31A00" w14:textId="771B3994" w:rsidR="00843933" w:rsidRPr="007D5A22" w:rsidRDefault="00843933" w:rsidP="006E0788">
            <w:pPr>
              <w:spacing w:after="0" w:line="240" w:lineRule="auto"/>
              <w:rPr>
                <w:rFonts w:ascii="Arial" w:eastAsia="Times New Roman" w:hAnsi="Arial" w:cs="Arial"/>
                <w:sz w:val="20"/>
                <w:szCs w:val="20"/>
              </w:rPr>
            </w:pPr>
            <w:r w:rsidRPr="007D5A22">
              <w:rPr>
                <w:rFonts w:ascii="Arial" w:eastAsia="Times New Roman" w:hAnsi="Arial" w:cs="Arial"/>
                <w:sz w:val="20"/>
                <w:szCs w:val="20"/>
              </w:rPr>
              <w:br/>
              <w:t>Date of submission: </w:t>
            </w:r>
            <w:r w:rsidRPr="007D5A22">
              <w:rPr>
                <w:rFonts w:ascii="Arial" w:eastAsia="Times New Roman" w:hAnsi="Arial" w:cs="Arial"/>
                <w:sz w:val="20"/>
                <w:szCs w:val="20"/>
              </w:rPr>
              <w:br/>
            </w:r>
            <w:r w:rsidRPr="007D5A22">
              <w:rPr>
                <w:rFonts w:ascii="Arial" w:eastAsia="Times New Roman" w:hAnsi="Arial" w:cs="Arial"/>
                <w:sz w:val="20"/>
                <w:szCs w:val="20"/>
              </w:rPr>
              <w:br/>
            </w:r>
            <w:r w:rsidRPr="007D5A22">
              <w:rPr>
                <w:rFonts w:ascii="Arial" w:eastAsia="Times New Roman" w:hAnsi="Arial" w:cs="Arial"/>
                <w:sz w:val="20"/>
                <w:szCs w:val="20"/>
              </w:rPr>
              <w:br/>
              <w:t>Case number:</w:t>
            </w:r>
            <w:r w:rsidRPr="007D5A22">
              <w:rPr>
                <w:rFonts w:ascii="Arial" w:eastAsia="Times New Roman" w:hAnsi="Arial" w:cs="Arial"/>
                <w:sz w:val="20"/>
                <w:szCs w:val="20"/>
              </w:rPr>
              <w:br/>
            </w:r>
            <w:r w:rsidRPr="007D5A22">
              <w:rPr>
                <w:rFonts w:ascii="Arial" w:eastAsia="Times New Roman" w:hAnsi="Arial" w:cs="Arial"/>
                <w:sz w:val="20"/>
                <w:szCs w:val="20"/>
              </w:rPr>
              <w:br/>
            </w:r>
            <w:r w:rsidRPr="007D5A22">
              <w:rPr>
                <w:rFonts w:ascii="Arial" w:eastAsia="Times New Roman" w:hAnsi="Arial" w:cs="Arial"/>
                <w:sz w:val="20"/>
                <w:szCs w:val="20"/>
              </w:rPr>
              <w:br/>
              <w:t>Institution:</w:t>
            </w:r>
            <w:r w:rsidRPr="007D5A22">
              <w:rPr>
                <w:rFonts w:ascii="Arial" w:eastAsia="Times New Roman" w:hAnsi="Arial" w:cs="Arial"/>
                <w:sz w:val="20"/>
                <w:szCs w:val="20"/>
              </w:rPr>
              <w:br/>
            </w:r>
            <w:r w:rsidRPr="007D5A22">
              <w:rPr>
                <w:rFonts w:ascii="Arial" w:eastAsia="Times New Roman" w:hAnsi="Arial" w:cs="Arial"/>
                <w:sz w:val="20"/>
                <w:szCs w:val="20"/>
              </w:rPr>
              <w:br/>
            </w:r>
            <w:r w:rsidRPr="007D5A22">
              <w:rPr>
                <w:rFonts w:ascii="Arial" w:eastAsia="Times New Roman" w:hAnsi="Arial" w:cs="Arial"/>
                <w:sz w:val="20"/>
                <w:szCs w:val="20"/>
              </w:rPr>
              <w:br/>
              <w:t xml:space="preserve">Legal basis: </w:t>
            </w:r>
            <w:r w:rsidR="008912CE">
              <w:rPr>
                <w:rFonts w:ascii="Arial" w:eastAsia="Times New Roman" w:hAnsi="Arial" w:cs="Arial"/>
                <w:sz w:val="20"/>
                <w:szCs w:val="20"/>
              </w:rPr>
              <w:t>A</w:t>
            </w:r>
            <w:r w:rsidRPr="007D5A22">
              <w:rPr>
                <w:rFonts w:ascii="Arial" w:eastAsia="Times New Roman" w:hAnsi="Arial" w:cs="Arial"/>
                <w:sz w:val="20"/>
                <w:szCs w:val="20"/>
              </w:rPr>
              <w:t>rticle 27</w:t>
            </w:r>
            <w:r w:rsidR="008912CE">
              <w:rPr>
                <w:rFonts w:ascii="Arial" w:eastAsia="Times New Roman" w:hAnsi="Arial" w:cs="Arial"/>
                <w:sz w:val="20"/>
                <w:szCs w:val="20"/>
              </w:rPr>
              <w:t>(</w:t>
            </w:r>
            <w:r w:rsidRPr="007D5A22">
              <w:rPr>
                <w:rFonts w:ascii="Arial" w:eastAsia="Times New Roman" w:hAnsi="Arial" w:cs="Arial"/>
                <w:sz w:val="20"/>
                <w:szCs w:val="20"/>
              </w:rPr>
              <w:t>5</w:t>
            </w:r>
            <w:r w:rsidR="008912CE">
              <w:rPr>
                <w:rFonts w:ascii="Arial" w:eastAsia="Times New Roman" w:hAnsi="Arial" w:cs="Arial"/>
                <w:sz w:val="20"/>
                <w:szCs w:val="20"/>
              </w:rPr>
              <w:t>)</w:t>
            </w:r>
            <w:r w:rsidRPr="007D5A22">
              <w:rPr>
                <w:rFonts w:ascii="Arial" w:eastAsia="Times New Roman" w:hAnsi="Arial" w:cs="Arial"/>
                <w:sz w:val="20"/>
                <w:szCs w:val="20"/>
              </w:rPr>
              <w:t xml:space="preserve"> of </w:t>
            </w:r>
            <w:r w:rsidR="008912CE">
              <w:rPr>
                <w:rFonts w:ascii="Arial" w:eastAsia="Times New Roman" w:hAnsi="Arial" w:cs="Arial"/>
                <w:sz w:val="20"/>
                <w:szCs w:val="20"/>
              </w:rPr>
              <w:t>R</w:t>
            </w:r>
            <w:r w:rsidRPr="007D5A22">
              <w:rPr>
                <w:rFonts w:ascii="Arial" w:eastAsia="Times New Roman" w:hAnsi="Arial" w:cs="Arial"/>
                <w:sz w:val="20"/>
                <w:szCs w:val="20"/>
              </w:rPr>
              <w:t>egulation CE 45/2001</w:t>
            </w:r>
            <w:r w:rsidRPr="007D5A22">
              <w:rPr>
                <w:rFonts w:ascii="Arial" w:eastAsia="Times New Roman" w:hAnsi="Arial" w:cs="Arial"/>
                <w:sz w:val="16"/>
                <w:szCs w:val="16"/>
              </w:rPr>
              <w:t>(1)</w:t>
            </w:r>
          </w:p>
        </w:tc>
      </w:tr>
      <w:tr w:rsidR="00843933" w:rsidRPr="007D5A22" w14:paraId="58C0EF9E" w14:textId="77777777" w:rsidTr="006E0788">
        <w:trPr>
          <w:trHeight w:val="450"/>
        </w:trPr>
        <w:tc>
          <w:tcPr>
            <w:tcW w:w="10000" w:type="dxa"/>
            <w:tcBorders>
              <w:top w:val="nil"/>
              <w:left w:val="single" w:sz="4" w:space="0" w:color="auto"/>
              <w:bottom w:val="single" w:sz="4" w:space="0" w:color="auto"/>
              <w:right w:val="single" w:sz="4" w:space="0" w:color="auto"/>
            </w:tcBorders>
            <w:shd w:val="clear" w:color="000000" w:fill="C0C0C0"/>
            <w:vAlign w:val="center"/>
            <w:hideMark/>
          </w:tcPr>
          <w:p w14:paraId="75E7CD6E" w14:textId="77777777" w:rsidR="00843933" w:rsidRPr="007D5A22" w:rsidRDefault="00843933" w:rsidP="006E0788">
            <w:pPr>
              <w:spacing w:after="0" w:line="240" w:lineRule="auto"/>
              <w:jc w:val="right"/>
              <w:rPr>
                <w:rFonts w:ascii="Arial" w:eastAsia="Times New Roman" w:hAnsi="Arial" w:cs="Arial"/>
                <w:i/>
                <w:iCs/>
                <w:sz w:val="16"/>
                <w:szCs w:val="16"/>
              </w:rPr>
            </w:pPr>
            <w:r w:rsidRPr="007D5A22">
              <w:rPr>
                <w:rFonts w:ascii="Arial" w:eastAsia="Times New Roman" w:hAnsi="Arial" w:cs="Arial"/>
                <w:i/>
                <w:iCs/>
                <w:sz w:val="16"/>
                <w:szCs w:val="16"/>
              </w:rPr>
              <w:t>(1) OJ L 8, 12.01.2001</w:t>
            </w:r>
          </w:p>
        </w:tc>
      </w:tr>
    </w:tbl>
    <w:p w14:paraId="7CB56792" w14:textId="77777777" w:rsidR="00843933" w:rsidRDefault="00843933"/>
    <w:tbl>
      <w:tblPr>
        <w:tblW w:w="10000" w:type="dxa"/>
        <w:tblInd w:w="93" w:type="dxa"/>
        <w:tblLook w:val="04A0" w:firstRow="1" w:lastRow="0" w:firstColumn="1" w:lastColumn="0" w:noHBand="0" w:noVBand="1"/>
      </w:tblPr>
      <w:tblGrid>
        <w:gridCol w:w="10000"/>
      </w:tblGrid>
      <w:tr w:rsidR="00B75A0F" w:rsidRPr="007D5A22" w14:paraId="5550104E" w14:textId="77777777" w:rsidTr="006E0788">
        <w:trPr>
          <w:trHeight w:val="1200"/>
        </w:trPr>
        <w:tc>
          <w:tcPr>
            <w:tcW w:w="10000" w:type="dxa"/>
            <w:tcBorders>
              <w:top w:val="single" w:sz="4" w:space="0" w:color="auto"/>
              <w:left w:val="single" w:sz="4" w:space="0" w:color="auto"/>
              <w:bottom w:val="nil"/>
              <w:right w:val="single" w:sz="4" w:space="0" w:color="auto"/>
            </w:tcBorders>
            <w:shd w:val="clear" w:color="000000" w:fill="FFFFFF"/>
            <w:vAlign w:val="center"/>
            <w:hideMark/>
          </w:tcPr>
          <w:p w14:paraId="565350D0" w14:textId="77777777" w:rsidR="00B75A0F" w:rsidRPr="007D5A22" w:rsidRDefault="00B75A0F" w:rsidP="006E0788">
            <w:pPr>
              <w:spacing w:after="0" w:line="240" w:lineRule="auto"/>
              <w:jc w:val="center"/>
              <w:rPr>
                <w:rFonts w:ascii="Arial" w:eastAsia="Times New Roman" w:hAnsi="Arial" w:cs="Arial"/>
                <w:b/>
                <w:bCs/>
                <w:sz w:val="24"/>
                <w:szCs w:val="24"/>
              </w:rPr>
            </w:pPr>
            <w:r w:rsidRPr="007D5A22">
              <w:rPr>
                <w:rFonts w:ascii="Arial" w:eastAsia="Times New Roman" w:hAnsi="Arial" w:cs="Arial"/>
                <w:b/>
                <w:bCs/>
                <w:sz w:val="24"/>
                <w:szCs w:val="24"/>
              </w:rPr>
              <w:br/>
              <w:t>INFORMATION TO BE GIVEN</w:t>
            </w:r>
            <w:r w:rsidRPr="007D5A22">
              <w:rPr>
                <w:rFonts w:ascii="Arial" w:eastAsia="Times New Roman" w:hAnsi="Arial" w:cs="Arial"/>
                <w:sz w:val="16"/>
                <w:szCs w:val="16"/>
              </w:rPr>
              <w:t>(2)</w:t>
            </w:r>
          </w:p>
        </w:tc>
      </w:tr>
      <w:tr w:rsidR="00B75A0F" w:rsidRPr="007D5A22" w14:paraId="21A7452F" w14:textId="77777777" w:rsidTr="006E0788">
        <w:trPr>
          <w:trHeight w:val="255"/>
        </w:trPr>
        <w:tc>
          <w:tcPr>
            <w:tcW w:w="10000" w:type="dxa"/>
            <w:tcBorders>
              <w:top w:val="nil"/>
              <w:left w:val="single" w:sz="4" w:space="0" w:color="auto"/>
              <w:bottom w:val="single" w:sz="4" w:space="0" w:color="auto"/>
              <w:right w:val="single" w:sz="4" w:space="0" w:color="auto"/>
            </w:tcBorders>
            <w:shd w:val="clear" w:color="000000" w:fill="FFFFFF"/>
            <w:vAlign w:val="center"/>
            <w:hideMark/>
          </w:tcPr>
          <w:p w14:paraId="7B8E6AE1" w14:textId="77777777" w:rsidR="00B75A0F" w:rsidRPr="007D5A22" w:rsidRDefault="00B75A0F" w:rsidP="006E0788">
            <w:pPr>
              <w:spacing w:after="0" w:line="240" w:lineRule="auto"/>
              <w:jc w:val="right"/>
              <w:rPr>
                <w:rFonts w:ascii="Arial" w:eastAsia="Times New Roman" w:hAnsi="Arial" w:cs="Arial"/>
                <w:i/>
                <w:iCs/>
                <w:sz w:val="16"/>
                <w:szCs w:val="16"/>
              </w:rPr>
            </w:pPr>
            <w:r w:rsidRPr="007D5A22">
              <w:rPr>
                <w:rFonts w:ascii="Arial" w:eastAsia="Times New Roman" w:hAnsi="Arial" w:cs="Arial"/>
                <w:i/>
                <w:iCs/>
                <w:sz w:val="16"/>
                <w:szCs w:val="16"/>
              </w:rPr>
              <w:t>(2) Please attach all necessary backup documents</w:t>
            </w:r>
          </w:p>
        </w:tc>
      </w:tr>
    </w:tbl>
    <w:tbl>
      <w:tblPr>
        <w:tblStyle w:val="TableGrid"/>
        <w:tblW w:w="9990" w:type="dxa"/>
        <w:tblInd w:w="108" w:type="dxa"/>
        <w:tblLook w:val="04A0" w:firstRow="1" w:lastRow="0" w:firstColumn="1" w:lastColumn="0" w:noHBand="0" w:noVBand="1"/>
      </w:tblPr>
      <w:tblGrid>
        <w:gridCol w:w="9990"/>
      </w:tblGrid>
      <w:tr w:rsidR="00B75A0F" w14:paraId="3F4D5FCC" w14:textId="77777777" w:rsidTr="00B75A0F">
        <w:tc>
          <w:tcPr>
            <w:tcW w:w="9990" w:type="dxa"/>
          </w:tcPr>
          <w:p w14:paraId="2915D0E7" w14:textId="77777777" w:rsidR="00B75A0F" w:rsidRDefault="00B75A0F">
            <w:pPr>
              <w:rPr>
                <w:rFonts w:ascii="Arial" w:eastAsia="Times New Roman" w:hAnsi="Arial" w:cs="Arial"/>
                <w:b/>
                <w:bCs/>
                <w:sz w:val="20"/>
                <w:szCs w:val="20"/>
              </w:rPr>
            </w:pPr>
            <w:r w:rsidRPr="007D5A22">
              <w:rPr>
                <w:rFonts w:ascii="Arial" w:eastAsia="Times New Roman" w:hAnsi="Arial" w:cs="Arial"/>
                <w:b/>
                <w:bCs/>
                <w:sz w:val="20"/>
                <w:szCs w:val="20"/>
              </w:rPr>
              <w:t> 1/ Name and address of the controller</w:t>
            </w:r>
          </w:p>
          <w:p w14:paraId="44FBE391" w14:textId="5050BA25" w:rsidR="006E0788" w:rsidRDefault="006E0788" w:rsidP="006E0788">
            <w:pPr>
              <w:jc w:val="both"/>
              <w:rPr>
                <w:rFonts w:cstheme="minorHAnsi"/>
              </w:rPr>
            </w:pPr>
            <w:r>
              <w:rPr>
                <w:rFonts w:cstheme="minorHAnsi"/>
              </w:rPr>
              <w:t>Agency for the Cooperation of Energy Regulators</w:t>
            </w:r>
            <w:r w:rsidR="00486366">
              <w:rPr>
                <w:rFonts w:cstheme="minorHAnsi"/>
              </w:rPr>
              <w:t xml:space="preserve"> </w:t>
            </w:r>
          </w:p>
          <w:p w14:paraId="0E560D9E" w14:textId="77777777" w:rsidR="006E0788" w:rsidRPr="006731DB" w:rsidRDefault="006E0788" w:rsidP="006E0788">
            <w:pPr>
              <w:jc w:val="both"/>
              <w:rPr>
                <w:rFonts w:cstheme="minorHAnsi"/>
              </w:rPr>
            </w:pPr>
            <w:proofErr w:type="spellStart"/>
            <w:r w:rsidRPr="006731DB">
              <w:rPr>
                <w:rFonts w:cstheme="minorHAnsi"/>
              </w:rPr>
              <w:t>Trg</w:t>
            </w:r>
            <w:proofErr w:type="spellEnd"/>
            <w:r w:rsidRPr="006731DB">
              <w:rPr>
                <w:rFonts w:cstheme="minorHAnsi"/>
              </w:rPr>
              <w:t xml:space="preserve"> </w:t>
            </w:r>
            <w:proofErr w:type="spellStart"/>
            <w:r w:rsidRPr="006731DB">
              <w:rPr>
                <w:rFonts w:cstheme="minorHAnsi"/>
              </w:rPr>
              <w:t>republike</w:t>
            </w:r>
            <w:proofErr w:type="spellEnd"/>
            <w:r w:rsidRPr="006731DB">
              <w:rPr>
                <w:rFonts w:cstheme="minorHAnsi"/>
              </w:rPr>
              <w:t xml:space="preserve"> 3</w:t>
            </w:r>
          </w:p>
          <w:p w14:paraId="16551502" w14:textId="77777777" w:rsidR="006E0788" w:rsidRPr="006731DB" w:rsidRDefault="006E0788" w:rsidP="006E0788">
            <w:pPr>
              <w:jc w:val="both"/>
              <w:rPr>
                <w:rFonts w:cstheme="minorHAnsi"/>
              </w:rPr>
            </w:pPr>
            <w:r w:rsidRPr="006731DB">
              <w:rPr>
                <w:rFonts w:cstheme="minorHAnsi"/>
              </w:rPr>
              <w:t>1000 – Ljubljana</w:t>
            </w:r>
          </w:p>
          <w:p w14:paraId="5913A074" w14:textId="77777777" w:rsidR="006E0788" w:rsidRPr="006731DB" w:rsidRDefault="006E0788" w:rsidP="006E0788">
            <w:pPr>
              <w:jc w:val="both"/>
              <w:rPr>
                <w:rFonts w:cstheme="minorHAnsi"/>
              </w:rPr>
            </w:pPr>
            <w:r w:rsidRPr="006731DB">
              <w:rPr>
                <w:rFonts w:cstheme="minorHAnsi"/>
              </w:rPr>
              <w:t>Slovenia</w:t>
            </w:r>
          </w:p>
          <w:p w14:paraId="60FF5ADB" w14:textId="77777777" w:rsidR="006E0788" w:rsidRDefault="006E0788"/>
        </w:tc>
      </w:tr>
      <w:tr w:rsidR="00B75A0F" w14:paraId="5610EE50" w14:textId="77777777" w:rsidTr="00B75A0F">
        <w:tc>
          <w:tcPr>
            <w:tcW w:w="9990" w:type="dxa"/>
          </w:tcPr>
          <w:p w14:paraId="1660DF97" w14:textId="22CBFC2B" w:rsidR="00CB0A82" w:rsidRDefault="00B75A0F" w:rsidP="00443F5B">
            <w:pPr>
              <w:rPr>
                <w:rFonts w:ascii="Arial" w:eastAsia="Times New Roman" w:hAnsi="Arial" w:cs="Arial"/>
                <w:b/>
                <w:bCs/>
                <w:sz w:val="20"/>
                <w:szCs w:val="20"/>
              </w:rPr>
            </w:pPr>
            <w:r w:rsidRPr="007D5A22">
              <w:rPr>
                <w:rFonts w:ascii="Arial" w:eastAsia="Times New Roman" w:hAnsi="Arial" w:cs="Arial"/>
                <w:b/>
                <w:bCs/>
                <w:sz w:val="20"/>
                <w:szCs w:val="20"/>
              </w:rPr>
              <w:t xml:space="preserve"> 2/ </w:t>
            </w:r>
            <w:proofErr w:type="spellStart"/>
            <w:r w:rsidRPr="007D5A22">
              <w:rPr>
                <w:rFonts w:ascii="Arial" w:eastAsia="Times New Roman" w:hAnsi="Arial" w:cs="Arial"/>
                <w:b/>
                <w:bCs/>
                <w:sz w:val="20"/>
                <w:szCs w:val="20"/>
              </w:rPr>
              <w:t>Organisational</w:t>
            </w:r>
            <w:proofErr w:type="spellEnd"/>
            <w:r w:rsidRPr="007D5A22">
              <w:rPr>
                <w:rFonts w:ascii="Arial" w:eastAsia="Times New Roman" w:hAnsi="Arial" w:cs="Arial"/>
                <w:b/>
                <w:bCs/>
                <w:sz w:val="20"/>
                <w:szCs w:val="20"/>
              </w:rPr>
              <w:t xml:space="preserve"> parts of the institution or body entrusted with the processing of personal data</w:t>
            </w:r>
          </w:p>
          <w:p w14:paraId="7642BE06" w14:textId="77777777" w:rsidR="000D7AA8" w:rsidRDefault="000D7AA8" w:rsidP="00CD1E59">
            <w:pPr>
              <w:jc w:val="both"/>
              <w:rPr>
                <w:rFonts w:cstheme="minorHAnsi"/>
              </w:rPr>
            </w:pPr>
          </w:p>
          <w:p w14:paraId="1D6E6C77" w14:textId="4B67C68D" w:rsidR="00486366" w:rsidRPr="00325A0C" w:rsidRDefault="00486366" w:rsidP="00CD1E59">
            <w:pPr>
              <w:jc w:val="both"/>
              <w:rPr>
                <w:rFonts w:cstheme="minorHAnsi"/>
                <w:sz w:val="20"/>
                <w:szCs w:val="20"/>
              </w:rPr>
            </w:pPr>
            <w:r w:rsidRPr="00CD1E59">
              <w:rPr>
                <w:rFonts w:cstheme="minorHAnsi"/>
              </w:rPr>
              <w:t>The Agency’s department in charge of processing of the personal data is the</w:t>
            </w:r>
            <w:r>
              <w:rPr>
                <w:rFonts w:cstheme="minorHAnsi"/>
              </w:rPr>
              <w:t xml:space="preserve"> Director’s Office</w:t>
            </w:r>
            <w:r w:rsidRPr="00CD1E59">
              <w:rPr>
                <w:rFonts w:cstheme="minorHAnsi"/>
              </w:rPr>
              <w:t>.</w:t>
            </w:r>
          </w:p>
          <w:p w14:paraId="3043C515" w14:textId="77777777" w:rsidR="00DE4F31" w:rsidRDefault="00DE4F31" w:rsidP="00443F5B">
            <w:pPr>
              <w:rPr>
                <w:rFonts w:ascii="Arial" w:eastAsia="Times New Roman" w:hAnsi="Arial" w:cs="Arial"/>
                <w:bCs/>
                <w:i/>
                <w:color w:val="FF0000"/>
                <w:sz w:val="20"/>
                <w:szCs w:val="20"/>
              </w:rPr>
            </w:pPr>
          </w:p>
          <w:p w14:paraId="400F4320" w14:textId="77777777" w:rsidR="000D7AA8" w:rsidRDefault="00B40EF6" w:rsidP="00CD1E59">
            <w:pPr>
              <w:pStyle w:val="ListParagraph"/>
              <w:ind w:left="0"/>
              <w:rPr>
                <w:color w:val="000000" w:themeColor="text1"/>
              </w:rPr>
            </w:pPr>
            <w:r>
              <w:rPr>
                <w:color w:val="000000" w:themeColor="text1"/>
              </w:rPr>
              <w:t xml:space="preserve">Mr. </w:t>
            </w:r>
            <w:r w:rsidR="00D24402" w:rsidRPr="004E199E">
              <w:rPr>
                <w:color w:val="000000" w:themeColor="text1"/>
              </w:rPr>
              <w:t>Alberto Pototschnig</w:t>
            </w:r>
            <w:r w:rsidR="009430F6">
              <w:rPr>
                <w:color w:val="000000" w:themeColor="text1"/>
              </w:rPr>
              <w:t xml:space="preserve">, </w:t>
            </w:r>
          </w:p>
          <w:p w14:paraId="673BB2E0" w14:textId="19E2DD8E" w:rsidR="00B40EF6" w:rsidRDefault="009430F6" w:rsidP="00CD1E59">
            <w:pPr>
              <w:pStyle w:val="ListParagraph"/>
              <w:ind w:left="0"/>
              <w:rPr>
                <w:color w:val="000000" w:themeColor="text1"/>
              </w:rPr>
            </w:pPr>
            <w:r>
              <w:rPr>
                <w:color w:val="000000" w:themeColor="text1"/>
              </w:rPr>
              <w:t xml:space="preserve">Director </w:t>
            </w:r>
          </w:p>
          <w:p w14:paraId="5C5ECA32" w14:textId="78E6B0CE" w:rsidR="009430F6" w:rsidRPr="00B40EF6" w:rsidRDefault="00B40EF6" w:rsidP="00B40EF6">
            <w:pPr>
              <w:pStyle w:val="ListParagraph"/>
              <w:ind w:left="0"/>
              <w:rPr>
                <w:color w:val="000000" w:themeColor="text1"/>
              </w:rPr>
            </w:pPr>
            <w:r w:rsidRPr="00B40EF6">
              <w:rPr>
                <w:color w:val="000000" w:themeColor="text1"/>
              </w:rPr>
              <w:t>Postal address:</w:t>
            </w:r>
          </w:p>
          <w:p w14:paraId="32CA942A" w14:textId="77777777" w:rsidR="00440922" w:rsidRPr="006731DB" w:rsidRDefault="00440922" w:rsidP="00440922">
            <w:pPr>
              <w:jc w:val="both"/>
              <w:rPr>
                <w:rFonts w:cstheme="minorHAnsi"/>
              </w:rPr>
            </w:pPr>
            <w:proofErr w:type="spellStart"/>
            <w:r w:rsidRPr="006731DB">
              <w:rPr>
                <w:rFonts w:cstheme="minorHAnsi"/>
              </w:rPr>
              <w:t>Trg</w:t>
            </w:r>
            <w:proofErr w:type="spellEnd"/>
            <w:r w:rsidRPr="006731DB">
              <w:rPr>
                <w:rFonts w:cstheme="minorHAnsi"/>
              </w:rPr>
              <w:t xml:space="preserve"> </w:t>
            </w:r>
            <w:proofErr w:type="spellStart"/>
            <w:r w:rsidRPr="006731DB">
              <w:rPr>
                <w:rFonts w:cstheme="minorHAnsi"/>
              </w:rPr>
              <w:t>republike</w:t>
            </w:r>
            <w:proofErr w:type="spellEnd"/>
            <w:r w:rsidRPr="006731DB">
              <w:rPr>
                <w:rFonts w:cstheme="minorHAnsi"/>
              </w:rPr>
              <w:t xml:space="preserve"> 3</w:t>
            </w:r>
          </w:p>
          <w:p w14:paraId="20A2D0F9" w14:textId="77777777" w:rsidR="00440922" w:rsidRPr="006731DB" w:rsidRDefault="00440922" w:rsidP="00440922">
            <w:pPr>
              <w:jc w:val="both"/>
              <w:rPr>
                <w:rFonts w:cstheme="minorHAnsi"/>
              </w:rPr>
            </w:pPr>
            <w:r w:rsidRPr="006731DB">
              <w:rPr>
                <w:rFonts w:cstheme="minorHAnsi"/>
              </w:rPr>
              <w:t>1000 – Ljubljana</w:t>
            </w:r>
          </w:p>
          <w:p w14:paraId="6C7A8198" w14:textId="6DEAD5B5" w:rsidR="00440922" w:rsidRPr="00440922" w:rsidRDefault="00440922" w:rsidP="00440922">
            <w:pPr>
              <w:jc w:val="both"/>
              <w:rPr>
                <w:rFonts w:cstheme="minorHAnsi"/>
              </w:rPr>
            </w:pPr>
            <w:r w:rsidRPr="006731DB">
              <w:rPr>
                <w:rFonts w:cstheme="minorHAnsi"/>
              </w:rPr>
              <w:t>Slovenia</w:t>
            </w:r>
          </w:p>
          <w:p w14:paraId="30936D11" w14:textId="631A24F1" w:rsidR="009430F6" w:rsidRDefault="009430F6" w:rsidP="00CD1E59">
            <w:pPr>
              <w:pStyle w:val="ListParagraph"/>
              <w:ind w:left="0"/>
              <w:rPr>
                <w:color w:val="000000" w:themeColor="text1"/>
              </w:rPr>
            </w:pPr>
            <w:r>
              <w:rPr>
                <w:color w:val="000000" w:themeColor="text1"/>
              </w:rPr>
              <w:t>Phone number: 082053409</w:t>
            </w:r>
          </w:p>
          <w:p w14:paraId="36AEB171" w14:textId="6769CBFD" w:rsidR="002A77AC" w:rsidRPr="004E199E" w:rsidRDefault="009430F6" w:rsidP="00CD1E59">
            <w:pPr>
              <w:pStyle w:val="ListParagraph"/>
              <w:ind w:left="0"/>
              <w:rPr>
                <w:color w:val="000000" w:themeColor="text1"/>
              </w:rPr>
            </w:pPr>
            <w:r>
              <w:rPr>
                <w:color w:val="000000" w:themeColor="text1"/>
              </w:rPr>
              <w:t>Email:</w:t>
            </w:r>
            <w:r w:rsidR="004371C1">
              <w:rPr>
                <w:color w:val="000000" w:themeColor="text1"/>
              </w:rPr>
              <w:t xml:space="preserve"> </w:t>
            </w:r>
            <w:r>
              <w:rPr>
                <w:color w:val="000000" w:themeColor="text1"/>
              </w:rPr>
              <w:t>alberto.potot</w:t>
            </w:r>
            <w:r w:rsidR="004371C1">
              <w:rPr>
                <w:color w:val="000000" w:themeColor="text1"/>
              </w:rPr>
              <w:t>s</w:t>
            </w:r>
            <w:r>
              <w:rPr>
                <w:color w:val="000000" w:themeColor="text1"/>
              </w:rPr>
              <w:t>chnig@acer.europa.eu</w:t>
            </w:r>
          </w:p>
          <w:p w14:paraId="66DA0C26" w14:textId="77777777" w:rsidR="002A77AC" w:rsidRDefault="002A77AC" w:rsidP="002A77AC">
            <w:pPr>
              <w:pStyle w:val="ListParagraph"/>
            </w:pPr>
          </w:p>
        </w:tc>
      </w:tr>
      <w:tr w:rsidR="00B75A0F" w14:paraId="77D2D76E" w14:textId="77777777" w:rsidTr="00B75A0F">
        <w:tc>
          <w:tcPr>
            <w:tcW w:w="9990" w:type="dxa"/>
          </w:tcPr>
          <w:p w14:paraId="62934B1A" w14:textId="27F5F948" w:rsidR="00B75A0F" w:rsidRDefault="00B75A0F">
            <w:pPr>
              <w:rPr>
                <w:rFonts w:ascii="Arial" w:eastAsia="Times New Roman" w:hAnsi="Arial" w:cs="Arial"/>
                <w:b/>
                <w:bCs/>
                <w:sz w:val="20"/>
                <w:szCs w:val="20"/>
              </w:rPr>
            </w:pPr>
            <w:r w:rsidRPr="007D5A22">
              <w:rPr>
                <w:rFonts w:ascii="Arial" w:eastAsia="Times New Roman" w:hAnsi="Arial" w:cs="Arial"/>
                <w:b/>
                <w:bCs/>
                <w:sz w:val="20"/>
                <w:szCs w:val="20"/>
              </w:rPr>
              <w:lastRenderedPageBreak/>
              <w:t> 3/ Name of the processing</w:t>
            </w:r>
            <w:r w:rsidR="006E0788">
              <w:rPr>
                <w:rFonts w:ascii="Arial" w:eastAsia="Times New Roman" w:hAnsi="Arial" w:cs="Arial"/>
                <w:b/>
                <w:bCs/>
                <w:sz w:val="20"/>
                <w:szCs w:val="20"/>
              </w:rPr>
              <w:t xml:space="preserve"> </w:t>
            </w:r>
          </w:p>
          <w:p w14:paraId="47B50EB2" w14:textId="77777777" w:rsidR="002A77AC" w:rsidRDefault="002A77AC">
            <w:pPr>
              <w:rPr>
                <w:rFonts w:ascii="Arial" w:eastAsia="Times New Roman" w:hAnsi="Arial" w:cs="Arial"/>
                <w:b/>
                <w:bCs/>
                <w:sz w:val="20"/>
                <w:szCs w:val="20"/>
              </w:rPr>
            </w:pPr>
          </w:p>
          <w:p w14:paraId="7490876B" w14:textId="1DB26E00" w:rsidR="00781B09" w:rsidRDefault="000D7AA8" w:rsidP="003E10B5">
            <w:pPr>
              <w:pStyle w:val="ListParagraph"/>
              <w:ind w:left="318" w:right="384"/>
              <w:jc w:val="both"/>
            </w:pPr>
            <w:r w:rsidRPr="003E10B5">
              <w:rPr>
                <w:i/>
              </w:rPr>
              <w:t xml:space="preserve">Establishment of the </w:t>
            </w:r>
            <w:r w:rsidR="00923DEA" w:rsidRPr="003E10B5">
              <w:rPr>
                <w:i/>
              </w:rPr>
              <w:t>Register</w:t>
            </w:r>
            <w:r w:rsidR="00F63D6C" w:rsidRPr="003E10B5">
              <w:rPr>
                <w:i/>
              </w:rPr>
              <w:t xml:space="preserve"> of </w:t>
            </w:r>
            <w:r w:rsidR="004E1312" w:rsidRPr="003E10B5">
              <w:rPr>
                <w:i/>
              </w:rPr>
              <w:t>Declarations of Intere</w:t>
            </w:r>
            <w:r w:rsidR="00F63D6C" w:rsidRPr="003E10B5">
              <w:rPr>
                <w:i/>
              </w:rPr>
              <w:t>s</w:t>
            </w:r>
            <w:r w:rsidR="004E1312" w:rsidRPr="003E10B5">
              <w:rPr>
                <w:i/>
              </w:rPr>
              <w:t>t</w:t>
            </w:r>
            <w:r w:rsidR="00440922" w:rsidRPr="003E10B5">
              <w:rPr>
                <w:i/>
              </w:rPr>
              <w:t>s</w:t>
            </w:r>
            <w:r w:rsidRPr="003E10B5">
              <w:rPr>
                <w:i/>
              </w:rPr>
              <w:t xml:space="preserve"> </w:t>
            </w:r>
            <w:r w:rsidR="008912CE" w:rsidRPr="003E10B5">
              <w:rPr>
                <w:i/>
              </w:rPr>
              <w:t>and Curriculum</w:t>
            </w:r>
            <w:r w:rsidRPr="003E10B5">
              <w:rPr>
                <w:i/>
              </w:rPr>
              <w:t xml:space="preserve"> Vitae </w:t>
            </w:r>
            <w:r w:rsidR="00F63D6C" w:rsidRPr="003E10B5">
              <w:rPr>
                <w:i/>
              </w:rPr>
              <w:t>of the</w:t>
            </w:r>
            <w:r w:rsidR="00B40EF6" w:rsidRPr="003E10B5">
              <w:rPr>
                <w:i/>
              </w:rPr>
              <w:t xml:space="preserve"> </w:t>
            </w:r>
            <w:r w:rsidR="008912CE" w:rsidRPr="003E10B5">
              <w:rPr>
                <w:i/>
              </w:rPr>
              <w:t xml:space="preserve">Senior Management of the Agency </w:t>
            </w:r>
            <w:r w:rsidRPr="003E10B5">
              <w:rPr>
                <w:i/>
              </w:rPr>
              <w:t xml:space="preserve">for the Cooperation of Energy Regulators </w:t>
            </w:r>
            <w:r w:rsidR="00923DEA" w:rsidRPr="003E10B5">
              <w:rPr>
                <w:i/>
              </w:rPr>
              <w:t>and</w:t>
            </w:r>
            <w:r w:rsidRPr="003E10B5">
              <w:rPr>
                <w:i/>
              </w:rPr>
              <w:t xml:space="preserve"> yearly</w:t>
            </w:r>
            <w:r w:rsidR="00923DEA" w:rsidRPr="003E10B5">
              <w:rPr>
                <w:i/>
              </w:rPr>
              <w:t xml:space="preserve"> </w:t>
            </w:r>
            <w:r w:rsidRPr="003E10B5">
              <w:rPr>
                <w:i/>
              </w:rPr>
              <w:t>release of the</w:t>
            </w:r>
            <w:r w:rsidR="00923DEA" w:rsidRPr="003E10B5">
              <w:rPr>
                <w:i/>
              </w:rPr>
              <w:t xml:space="preserve"> Register </w:t>
            </w:r>
            <w:r w:rsidRPr="003E10B5">
              <w:rPr>
                <w:i/>
              </w:rPr>
              <w:t>to the Public through internet</w:t>
            </w:r>
            <w:r>
              <w:t>.</w:t>
            </w:r>
          </w:p>
          <w:p w14:paraId="7EED450E" w14:textId="77777777" w:rsidR="00212F57" w:rsidRDefault="00212F57" w:rsidP="00B40EF6">
            <w:pPr>
              <w:pStyle w:val="ListParagraph"/>
              <w:ind w:left="318"/>
              <w:jc w:val="both"/>
            </w:pPr>
          </w:p>
          <w:p w14:paraId="3052C2EF" w14:textId="77777777" w:rsidR="000D7AA8" w:rsidRDefault="000D7AA8" w:rsidP="00B40EF6">
            <w:pPr>
              <w:pStyle w:val="ListParagraph"/>
              <w:ind w:left="318"/>
              <w:jc w:val="both"/>
            </w:pPr>
          </w:p>
          <w:p w14:paraId="6F7F1ED2" w14:textId="123F16BF" w:rsidR="000D7AA8" w:rsidRDefault="000D7AA8" w:rsidP="003E10B5">
            <w:pPr>
              <w:pStyle w:val="ListParagraph"/>
              <w:ind w:left="318" w:right="384"/>
              <w:jc w:val="both"/>
            </w:pPr>
            <w:r>
              <w:t>The following abbreviations are hereinafter applied for the purpose of this Notification Form:</w:t>
            </w:r>
          </w:p>
          <w:p w14:paraId="7ACE5E57" w14:textId="77777777" w:rsidR="000D7AA8" w:rsidRDefault="000D7AA8" w:rsidP="003E10B5">
            <w:pPr>
              <w:pStyle w:val="ListParagraph"/>
              <w:ind w:left="318" w:right="384"/>
              <w:jc w:val="both"/>
            </w:pPr>
          </w:p>
          <w:p w14:paraId="449954C0" w14:textId="77777777" w:rsidR="000D7AA8" w:rsidRDefault="000D7AA8" w:rsidP="003E10B5">
            <w:pPr>
              <w:pStyle w:val="ListParagraph"/>
              <w:ind w:left="318" w:right="384"/>
              <w:jc w:val="both"/>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188"/>
            </w:tblGrid>
            <w:tr w:rsidR="000D7AA8" w14:paraId="2B0AD75B" w14:textId="77777777" w:rsidTr="000D7AA8">
              <w:tc>
                <w:tcPr>
                  <w:tcW w:w="2268" w:type="dxa"/>
                </w:tcPr>
                <w:p w14:paraId="1A33C5CB" w14:textId="6F4DE30C" w:rsidR="000D7AA8" w:rsidRDefault="000D7AA8" w:rsidP="003E10B5">
                  <w:pPr>
                    <w:pStyle w:val="ListParagraph"/>
                    <w:ind w:left="0" w:right="384"/>
                    <w:jc w:val="both"/>
                  </w:pPr>
                  <w:r>
                    <w:t>Agency</w:t>
                  </w:r>
                </w:p>
              </w:tc>
              <w:tc>
                <w:tcPr>
                  <w:tcW w:w="7188" w:type="dxa"/>
                </w:tcPr>
                <w:p w14:paraId="4F37CEF1" w14:textId="77D735CF" w:rsidR="000D7AA8" w:rsidRDefault="000D7AA8" w:rsidP="003E10B5">
                  <w:pPr>
                    <w:ind w:right="384"/>
                    <w:jc w:val="both"/>
                  </w:pPr>
                  <w:r>
                    <w:t>Agency for the Cooperation of Energy Regulators;</w:t>
                  </w:r>
                </w:p>
              </w:tc>
            </w:tr>
            <w:tr w:rsidR="000D7AA8" w14:paraId="4DEB0985" w14:textId="77777777" w:rsidTr="000D7AA8">
              <w:tc>
                <w:tcPr>
                  <w:tcW w:w="2268" w:type="dxa"/>
                </w:tcPr>
                <w:p w14:paraId="59F495CC" w14:textId="1A0C273E" w:rsidR="000D7AA8" w:rsidRDefault="000D7AA8" w:rsidP="003E10B5">
                  <w:pPr>
                    <w:pStyle w:val="ListParagraph"/>
                    <w:ind w:left="0" w:right="384"/>
                    <w:jc w:val="both"/>
                  </w:pPr>
                  <w:r>
                    <w:t>Register</w:t>
                  </w:r>
                </w:p>
              </w:tc>
              <w:tc>
                <w:tcPr>
                  <w:tcW w:w="7188" w:type="dxa"/>
                </w:tcPr>
                <w:p w14:paraId="1723A7DA" w14:textId="4270AE30" w:rsidR="000D7AA8" w:rsidRDefault="000D7AA8" w:rsidP="003E10B5">
                  <w:pPr>
                    <w:pStyle w:val="ListParagraph"/>
                    <w:ind w:left="0" w:right="384"/>
                    <w:jc w:val="both"/>
                  </w:pPr>
                  <w:r>
                    <w:t>Register of Declarations of Interests and Curriculum Vitae;</w:t>
                  </w:r>
                </w:p>
              </w:tc>
            </w:tr>
            <w:tr w:rsidR="000D7AA8" w14:paraId="7D7E2B8D" w14:textId="77777777" w:rsidTr="000D7AA8">
              <w:tc>
                <w:tcPr>
                  <w:tcW w:w="2268" w:type="dxa"/>
                </w:tcPr>
                <w:p w14:paraId="4CD91D6A" w14:textId="5F4A2DF1" w:rsidR="000D7AA8" w:rsidRDefault="000D7AA8" w:rsidP="003E10B5">
                  <w:pPr>
                    <w:pStyle w:val="ListParagraph"/>
                    <w:ind w:left="0" w:right="384"/>
                    <w:jc w:val="both"/>
                  </w:pPr>
                  <w:proofErr w:type="spellStart"/>
                  <w:r>
                    <w:t>DoI</w:t>
                  </w:r>
                  <w:proofErr w:type="spellEnd"/>
                </w:p>
              </w:tc>
              <w:tc>
                <w:tcPr>
                  <w:tcW w:w="7188" w:type="dxa"/>
                </w:tcPr>
                <w:p w14:paraId="404A4D24" w14:textId="7ED9DD18" w:rsidR="000D7AA8" w:rsidRDefault="000D7AA8" w:rsidP="003E10B5">
                  <w:pPr>
                    <w:pStyle w:val="ListParagraph"/>
                    <w:ind w:left="0" w:right="384"/>
                    <w:jc w:val="both"/>
                  </w:pPr>
                  <w:r>
                    <w:t>Declaration of Interests;</w:t>
                  </w:r>
                </w:p>
              </w:tc>
            </w:tr>
            <w:tr w:rsidR="000D7AA8" w14:paraId="5FD819AD" w14:textId="77777777" w:rsidTr="000D7AA8">
              <w:tc>
                <w:tcPr>
                  <w:tcW w:w="2268" w:type="dxa"/>
                </w:tcPr>
                <w:p w14:paraId="6C59B961" w14:textId="3BD16E23" w:rsidR="000D7AA8" w:rsidRDefault="000D7AA8" w:rsidP="003E10B5">
                  <w:pPr>
                    <w:pStyle w:val="ListParagraph"/>
                    <w:ind w:left="0" w:right="384"/>
                    <w:jc w:val="both"/>
                  </w:pPr>
                  <w:r>
                    <w:t>CV</w:t>
                  </w:r>
                </w:p>
              </w:tc>
              <w:tc>
                <w:tcPr>
                  <w:tcW w:w="7188" w:type="dxa"/>
                </w:tcPr>
                <w:p w14:paraId="4929B380" w14:textId="7818D653" w:rsidR="000D7AA8" w:rsidRDefault="000D7AA8" w:rsidP="003E10B5">
                  <w:pPr>
                    <w:pStyle w:val="ListParagraph"/>
                    <w:ind w:left="0" w:right="384"/>
                    <w:jc w:val="both"/>
                  </w:pPr>
                  <w:r>
                    <w:t>Curriculum Vitae;</w:t>
                  </w:r>
                </w:p>
              </w:tc>
            </w:tr>
            <w:tr w:rsidR="000D7AA8" w14:paraId="0139BC49" w14:textId="77777777" w:rsidTr="000D7AA8">
              <w:tc>
                <w:tcPr>
                  <w:tcW w:w="2268" w:type="dxa"/>
                </w:tcPr>
                <w:p w14:paraId="005DFC6F" w14:textId="6C7B0AA8" w:rsidR="000D7AA8" w:rsidRDefault="000D7AA8" w:rsidP="003E10B5">
                  <w:pPr>
                    <w:pStyle w:val="ListParagraph"/>
                    <w:ind w:left="0" w:right="384"/>
                    <w:jc w:val="both"/>
                  </w:pPr>
                  <w:r>
                    <w:t>SM</w:t>
                  </w:r>
                </w:p>
              </w:tc>
              <w:tc>
                <w:tcPr>
                  <w:tcW w:w="7188" w:type="dxa"/>
                </w:tcPr>
                <w:p w14:paraId="30A9E818" w14:textId="5A8F915A" w:rsidR="000D7AA8" w:rsidRDefault="000D7AA8" w:rsidP="003E10B5">
                  <w:pPr>
                    <w:pStyle w:val="ListParagraph"/>
                    <w:ind w:left="0" w:right="384"/>
                    <w:jc w:val="both"/>
                  </w:pPr>
                  <w:r>
                    <w:t>Senior Management of the Agency for the Cooperation of Energy Regulators;</w:t>
                  </w:r>
                </w:p>
              </w:tc>
            </w:tr>
            <w:tr w:rsidR="000D7AA8" w14:paraId="6E954390" w14:textId="77777777" w:rsidTr="000D7AA8">
              <w:tc>
                <w:tcPr>
                  <w:tcW w:w="2268" w:type="dxa"/>
                </w:tcPr>
                <w:p w14:paraId="1EF8FD09" w14:textId="77777777" w:rsidR="000D7AA8" w:rsidRDefault="000D7AA8" w:rsidP="00B40EF6">
                  <w:pPr>
                    <w:pStyle w:val="ListParagraph"/>
                    <w:ind w:left="0"/>
                    <w:jc w:val="both"/>
                  </w:pPr>
                </w:p>
              </w:tc>
              <w:tc>
                <w:tcPr>
                  <w:tcW w:w="7188" w:type="dxa"/>
                </w:tcPr>
                <w:p w14:paraId="511004CE" w14:textId="77777777" w:rsidR="000D7AA8" w:rsidRDefault="000D7AA8" w:rsidP="00B40EF6">
                  <w:pPr>
                    <w:pStyle w:val="ListParagraph"/>
                    <w:ind w:left="0"/>
                    <w:jc w:val="both"/>
                  </w:pPr>
                </w:p>
              </w:tc>
            </w:tr>
          </w:tbl>
          <w:p w14:paraId="3E5FAF3F" w14:textId="761A9344" w:rsidR="000D7AA8" w:rsidRDefault="000D7AA8" w:rsidP="000D7AA8">
            <w:pPr>
              <w:pStyle w:val="ListParagraph"/>
              <w:ind w:left="1038"/>
              <w:jc w:val="both"/>
            </w:pPr>
          </w:p>
        </w:tc>
      </w:tr>
      <w:tr w:rsidR="00B75A0F" w14:paraId="6143733F" w14:textId="77777777" w:rsidTr="00B75A0F">
        <w:tc>
          <w:tcPr>
            <w:tcW w:w="9990" w:type="dxa"/>
          </w:tcPr>
          <w:p w14:paraId="6E9F851A" w14:textId="7AFADE17" w:rsidR="002A77AC" w:rsidRPr="00342F45" w:rsidRDefault="00B75A0F" w:rsidP="00443F5B">
            <w:pPr>
              <w:rPr>
                <w:rFonts w:ascii="Arial" w:eastAsia="Times New Roman" w:hAnsi="Arial" w:cs="Arial"/>
                <w:b/>
                <w:bCs/>
                <w:sz w:val="20"/>
                <w:szCs w:val="20"/>
              </w:rPr>
            </w:pPr>
            <w:r w:rsidRPr="00342F45">
              <w:rPr>
                <w:rFonts w:ascii="Arial" w:eastAsia="Times New Roman" w:hAnsi="Arial" w:cs="Arial"/>
                <w:b/>
                <w:bCs/>
                <w:sz w:val="20"/>
                <w:szCs w:val="20"/>
              </w:rPr>
              <w:t> 4/ Purpose or purposes of the processing</w:t>
            </w:r>
            <w:r w:rsidR="009222FD" w:rsidRPr="00342F45">
              <w:rPr>
                <w:rFonts w:ascii="Arial" w:eastAsia="Times New Roman" w:hAnsi="Arial" w:cs="Arial"/>
                <w:b/>
                <w:bCs/>
                <w:sz w:val="20"/>
                <w:szCs w:val="20"/>
              </w:rPr>
              <w:t xml:space="preserve"> </w:t>
            </w:r>
          </w:p>
          <w:p w14:paraId="78C2373E" w14:textId="77777777" w:rsidR="00D24402" w:rsidRPr="00342F45" w:rsidRDefault="00D24402" w:rsidP="00AC69A6">
            <w:pPr>
              <w:jc w:val="both"/>
              <w:rPr>
                <w:rFonts w:cstheme="minorHAnsi"/>
              </w:rPr>
            </w:pPr>
          </w:p>
          <w:p w14:paraId="5BA02DCF" w14:textId="2F5A5A18" w:rsidR="000D7AA8" w:rsidRPr="00342F45" w:rsidRDefault="00B40EF6" w:rsidP="00923DEA">
            <w:pPr>
              <w:jc w:val="both"/>
              <w:rPr>
                <w:rFonts w:cstheme="minorHAnsi"/>
              </w:rPr>
            </w:pPr>
            <w:r w:rsidRPr="00342F45">
              <w:rPr>
                <w:rFonts w:cstheme="minorHAnsi"/>
              </w:rPr>
              <w:t>The processing</w:t>
            </w:r>
            <w:r w:rsidR="000D7AA8" w:rsidRPr="00342F45">
              <w:rPr>
                <w:rFonts w:cstheme="minorHAnsi"/>
              </w:rPr>
              <w:t xml:space="preserve"> activity entails:</w:t>
            </w:r>
          </w:p>
          <w:p w14:paraId="36124B05" w14:textId="57D0DB2F" w:rsidR="00B40EF6" w:rsidRPr="00342F45" w:rsidRDefault="00B40EF6" w:rsidP="00923DEA">
            <w:pPr>
              <w:jc w:val="both"/>
              <w:rPr>
                <w:rFonts w:cstheme="minorHAnsi"/>
              </w:rPr>
            </w:pPr>
          </w:p>
          <w:p w14:paraId="77375CF3" w14:textId="2B4E2662" w:rsidR="00923DEA" w:rsidRPr="00342F45" w:rsidRDefault="003E10B5" w:rsidP="00923DEA">
            <w:pPr>
              <w:pStyle w:val="ListParagraph"/>
              <w:numPr>
                <w:ilvl w:val="0"/>
                <w:numId w:val="5"/>
              </w:numPr>
              <w:jc w:val="both"/>
              <w:rPr>
                <w:rFonts w:eastAsia="Times New Roman" w:cstheme="minorHAnsi"/>
                <w:bCs/>
                <w:sz w:val="20"/>
                <w:szCs w:val="20"/>
              </w:rPr>
            </w:pPr>
            <w:r w:rsidRPr="00342F45">
              <w:rPr>
                <w:rFonts w:cstheme="minorHAnsi"/>
              </w:rPr>
              <w:t>t</w:t>
            </w:r>
            <w:r w:rsidR="000D7AA8" w:rsidRPr="00342F45">
              <w:rPr>
                <w:rFonts w:cstheme="minorHAnsi"/>
              </w:rPr>
              <w:t xml:space="preserve">he collection of Personal </w:t>
            </w:r>
            <w:r w:rsidRPr="00342F45">
              <w:rPr>
                <w:rFonts w:cstheme="minorHAnsi"/>
              </w:rPr>
              <w:t xml:space="preserve">Data </w:t>
            </w:r>
            <w:r w:rsidR="000D7AA8" w:rsidRPr="00342F45">
              <w:rPr>
                <w:rFonts w:cstheme="minorHAnsi"/>
              </w:rPr>
              <w:t>related to Senior Management;</w:t>
            </w:r>
            <w:r w:rsidR="00923DEA" w:rsidRPr="00342F45">
              <w:rPr>
                <w:rFonts w:cstheme="minorHAnsi"/>
              </w:rPr>
              <w:t xml:space="preserve"> </w:t>
            </w:r>
          </w:p>
          <w:p w14:paraId="723952AC" w14:textId="62904065" w:rsidR="00B40EF6" w:rsidRPr="00342F45" w:rsidRDefault="003E10B5" w:rsidP="00923DEA">
            <w:pPr>
              <w:pStyle w:val="ListParagraph"/>
              <w:numPr>
                <w:ilvl w:val="0"/>
                <w:numId w:val="5"/>
              </w:numPr>
              <w:jc w:val="both"/>
              <w:rPr>
                <w:rFonts w:cstheme="minorHAnsi"/>
              </w:rPr>
            </w:pPr>
            <w:r w:rsidRPr="00342F45">
              <w:rPr>
                <w:rFonts w:cstheme="minorHAnsi"/>
              </w:rPr>
              <w:t>t</w:t>
            </w:r>
            <w:r w:rsidR="000D7AA8" w:rsidRPr="00342F45">
              <w:rPr>
                <w:rFonts w:cstheme="minorHAnsi"/>
              </w:rPr>
              <w:t>he e</w:t>
            </w:r>
            <w:r w:rsidR="00B40EF6" w:rsidRPr="00342F45">
              <w:rPr>
                <w:rFonts w:cstheme="minorHAnsi"/>
              </w:rPr>
              <w:t>s</w:t>
            </w:r>
            <w:r w:rsidR="000D7AA8" w:rsidRPr="00342F45">
              <w:rPr>
                <w:rFonts w:cstheme="minorHAnsi"/>
              </w:rPr>
              <w:t>tablishment and operation of a R</w:t>
            </w:r>
            <w:r w:rsidR="00B40EF6" w:rsidRPr="00342F45">
              <w:rPr>
                <w:rFonts w:cstheme="minorHAnsi"/>
              </w:rPr>
              <w:t xml:space="preserve">egister; </w:t>
            </w:r>
          </w:p>
          <w:p w14:paraId="5D12C784" w14:textId="709E4856" w:rsidR="00B40EF6" w:rsidRPr="00342F45" w:rsidRDefault="003E10B5" w:rsidP="00923DEA">
            <w:pPr>
              <w:pStyle w:val="ListParagraph"/>
              <w:numPr>
                <w:ilvl w:val="0"/>
                <w:numId w:val="5"/>
              </w:numPr>
              <w:jc w:val="both"/>
              <w:rPr>
                <w:rFonts w:cstheme="minorHAnsi"/>
              </w:rPr>
            </w:pPr>
            <w:proofErr w:type="gramStart"/>
            <w:r w:rsidRPr="00342F45">
              <w:rPr>
                <w:rFonts w:cstheme="minorHAnsi"/>
              </w:rPr>
              <w:t>yearly</w:t>
            </w:r>
            <w:proofErr w:type="gramEnd"/>
            <w:r w:rsidRPr="00342F45">
              <w:rPr>
                <w:rFonts w:cstheme="minorHAnsi"/>
              </w:rPr>
              <w:t xml:space="preserve"> release to the Public</w:t>
            </w:r>
            <w:r w:rsidR="00586D5D" w:rsidRPr="00342F45">
              <w:rPr>
                <w:rFonts w:cstheme="minorHAnsi"/>
              </w:rPr>
              <w:t xml:space="preserve"> of</w:t>
            </w:r>
            <w:r w:rsidR="00923DEA" w:rsidRPr="00342F45">
              <w:rPr>
                <w:rFonts w:cstheme="minorHAnsi"/>
              </w:rPr>
              <w:t xml:space="preserve"> the</w:t>
            </w:r>
            <w:r w:rsidR="00B222C7" w:rsidRPr="00342F45">
              <w:rPr>
                <w:rFonts w:cstheme="minorHAnsi"/>
              </w:rPr>
              <w:t xml:space="preserve"> non-confidential version of the</w:t>
            </w:r>
            <w:r w:rsidR="00923DEA" w:rsidRPr="00342F45">
              <w:rPr>
                <w:rFonts w:cstheme="minorHAnsi"/>
              </w:rPr>
              <w:t xml:space="preserve"> Register</w:t>
            </w:r>
            <w:r w:rsidR="00B40EF6" w:rsidRPr="00342F45">
              <w:rPr>
                <w:rFonts w:cstheme="minorHAnsi"/>
              </w:rPr>
              <w:t xml:space="preserve"> </w:t>
            </w:r>
            <w:r w:rsidRPr="00342F45">
              <w:rPr>
                <w:rFonts w:cstheme="minorHAnsi"/>
              </w:rPr>
              <w:t>on the website of the Agency</w:t>
            </w:r>
            <w:r w:rsidR="000B5243" w:rsidRPr="00342F45">
              <w:rPr>
                <w:rFonts w:cstheme="minorHAnsi"/>
              </w:rPr>
              <w:t>.</w:t>
            </w:r>
          </w:p>
          <w:p w14:paraId="28D4C5BB" w14:textId="77777777" w:rsidR="003E10B5" w:rsidRPr="00342F45" w:rsidRDefault="003E10B5" w:rsidP="00AC69A6">
            <w:pPr>
              <w:pStyle w:val="ListParagraph"/>
              <w:ind w:left="0"/>
              <w:jc w:val="both"/>
              <w:rPr>
                <w:rFonts w:cstheme="minorHAnsi"/>
              </w:rPr>
            </w:pPr>
            <w:bookmarkStart w:id="0" w:name="_Toc379377078"/>
          </w:p>
          <w:p w14:paraId="00F4C78A" w14:textId="29B38D5D" w:rsidR="000B5243" w:rsidRPr="00342F45" w:rsidRDefault="000B5243" w:rsidP="00AC69A6">
            <w:pPr>
              <w:pStyle w:val="ListParagraph"/>
              <w:ind w:left="0"/>
              <w:jc w:val="both"/>
              <w:rPr>
                <w:rFonts w:cstheme="minorHAnsi"/>
              </w:rPr>
            </w:pPr>
            <w:r w:rsidRPr="00342F45">
              <w:rPr>
                <w:rFonts w:cstheme="minorHAnsi"/>
                <w:i/>
              </w:rPr>
              <w:t>Purpose of the establishment of the Register</w:t>
            </w:r>
            <w:r w:rsidRPr="00342F45">
              <w:rPr>
                <w:rFonts w:cstheme="minorHAnsi"/>
              </w:rPr>
              <w:t>:</w:t>
            </w:r>
          </w:p>
          <w:p w14:paraId="4997A2F1" w14:textId="77777777" w:rsidR="000B5243" w:rsidRPr="00342F45" w:rsidRDefault="000B5243" w:rsidP="00AC69A6">
            <w:pPr>
              <w:pStyle w:val="ListParagraph"/>
              <w:ind w:left="0"/>
              <w:jc w:val="both"/>
              <w:rPr>
                <w:rFonts w:cstheme="minorHAnsi"/>
              </w:rPr>
            </w:pPr>
          </w:p>
          <w:p w14:paraId="4553A8E0" w14:textId="3694951C" w:rsidR="003E10B5" w:rsidRPr="00342F45" w:rsidRDefault="003E10B5" w:rsidP="000B5243">
            <w:pPr>
              <w:jc w:val="both"/>
              <w:rPr>
                <w:rFonts w:eastAsia="Times New Roman" w:cs="Arial"/>
                <w:bCs/>
              </w:rPr>
            </w:pPr>
            <w:r w:rsidRPr="00342F45">
              <w:rPr>
                <w:rFonts w:cstheme="minorHAnsi"/>
              </w:rPr>
              <w:t>The purposes of the processing activity</w:t>
            </w:r>
            <w:r w:rsidR="000B5243" w:rsidRPr="00342F45">
              <w:rPr>
                <w:rFonts w:cstheme="minorHAnsi"/>
              </w:rPr>
              <w:t>, namely</w:t>
            </w:r>
            <w:r w:rsidR="00902843" w:rsidRPr="00342F45">
              <w:rPr>
                <w:rFonts w:eastAsia="Times New Roman" w:cs="Arial"/>
                <w:bCs/>
              </w:rPr>
              <w:t xml:space="preserve"> </w:t>
            </w:r>
            <w:r w:rsidR="000B5243" w:rsidRPr="00342F45">
              <w:rPr>
                <w:rFonts w:eastAsia="Times New Roman" w:cs="Arial"/>
                <w:bCs/>
              </w:rPr>
              <w:t>the collection</w:t>
            </w:r>
            <w:r w:rsidR="00902843" w:rsidRPr="00342F45">
              <w:rPr>
                <w:rFonts w:eastAsia="Times New Roman" w:cs="Arial"/>
                <w:bCs/>
              </w:rPr>
              <w:t xml:space="preserve"> within one system all </w:t>
            </w:r>
            <w:proofErr w:type="spellStart"/>
            <w:r w:rsidR="00902843" w:rsidRPr="00342F45">
              <w:rPr>
                <w:rFonts w:eastAsia="Times New Roman" w:cs="Arial"/>
                <w:bCs/>
              </w:rPr>
              <w:t>DoIs</w:t>
            </w:r>
            <w:proofErr w:type="spellEnd"/>
            <w:r w:rsidR="00902843" w:rsidRPr="00342F45">
              <w:rPr>
                <w:rFonts w:eastAsia="Times New Roman" w:cs="Arial"/>
                <w:bCs/>
              </w:rPr>
              <w:t xml:space="preserve"> and </w:t>
            </w:r>
            <w:proofErr w:type="spellStart"/>
            <w:r w:rsidR="00902843" w:rsidRPr="00342F45">
              <w:rPr>
                <w:rFonts w:eastAsia="Times New Roman" w:cs="Arial"/>
                <w:bCs/>
              </w:rPr>
              <w:t>CVof</w:t>
            </w:r>
            <w:proofErr w:type="spellEnd"/>
            <w:r w:rsidR="00902843" w:rsidRPr="00342F45">
              <w:rPr>
                <w:rFonts w:eastAsia="Times New Roman" w:cs="Arial"/>
                <w:bCs/>
              </w:rPr>
              <w:t xml:space="preserve"> </w:t>
            </w:r>
            <w:r w:rsidR="00902843" w:rsidRPr="00342F45">
              <w:rPr>
                <w:rFonts w:cstheme="minorHAnsi"/>
              </w:rPr>
              <w:t>SM</w:t>
            </w:r>
            <w:r w:rsidR="00902843" w:rsidRPr="00342F45">
              <w:rPr>
                <w:rFonts w:eastAsia="Times New Roman" w:cs="Arial"/>
                <w:bCs/>
              </w:rPr>
              <w:t xml:space="preserve"> for the entire length of their employment with the Agency</w:t>
            </w:r>
            <w:r w:rsidR="000B5243" w:rsidRPr="00342F45">
              <w:rPr>
                <w:rFonts w:eastAsia="Times New Roman" w:cs="Arial"/>
                <w:bCs/>
              </w:rPr>
              <w:t xml:space="preserve">, </w:t>
            </w:r>
            <w:r w:rsidRPr="00342F45">
              <w:rPr>
                <w:rFonts w:cstheme="minorHAnsi"/>
              </w:rPr>
              <w:t>are:</w:t>
            </w:r>
          </w:p>
          <w:p w14:paraId="686E17F2" w14:textId="77777777" w:rsidR="003E10B5" w:rsidRPr="00342F45" w:rsidRDefault="003E10B5" w:rsidP="003E10B5">
            <w:pPr>
              <w:pStyle w:val="ListParagraph"/>
              <w:ind w:left="0"/>
              <w:jc w:val="both"/>
              <w:rPr>
                <w:rFonts w:cstheme="minorHAnsi"/>
              </w:rPr>
            </w:pPr>
          </w:p>
          <w:p w14:paraId="7A5D4473" w14:textId="7D292045" w:rsidR="000B5243" w:rsidRPr="00342F45" w:rsidRDefault="00206E74" w:rsidP="000B5243">
            <w:pPr>
              <w:pStyle w:val="ListParagraph"/>
              <w:numPr>
                <w:ilvl w:val="0"/>
                <w:numId w:val="5"/>
              </w:numPr>
              <w:jc w:val="both"/>
              <w:rPr>
                <w:rFonts w:cstheme="minorHAnsi"/>
              </w:rPr>
            </w:pPr>
            <w:r w:rsidRPr="00342F45">
              <w:rPr>
                <w:rFonts w:cstheme="minorHAnsi"/>
              </w:rPr>
              <w:t>ensuring</w:t>
            </w:r>
            <w:r w:rsidR="003E10B5" w:rsidRPr="00342F45">
              <w:rPr>
                <w:rFonts w:cstheme="minorHAnsi"/>
              </w:rPr>
              <w:t xml:space="preserve"> the independence </w:t>
            </w:r>
            <w:r w:rsidR="00923DEA" w:rsidRPr="00342F45">
              <w:rPr>
                <w:rFonts w:cstheme="minorHAnsi"/>
              </w:rPr>
              <w:t xml:space="preserve">of </w:t>
            </w:r>
            <w:r w:rsidR="003E10B5" w:rsidRPr="00342F45">
              <w:rPr>
                <w:rFonts w:cstheme="minorHAnsi"/>
              </w:rPr>
              <w:t xml:space="preserve">the </w:t>
            </w:r>
            <w:r w:rsidR="00923DEA" w:rsidRPr="00342F45">
              <w:rPr>
                <w:rFonts w:cstheme="minorHAnsi"/>
              </w:rPr>
              <w:t>decision-making process</w:t>
            </w:r>
            <w:r w:rsidR="003E10B5" w:rsidRPr="00342F45">
              <w:rPr>
                <w:rFonts w:cstheme="minorHAnsi"/>
              </w:rPr>
              <w:t xml:space="preserve"> of the Agency</w:t>
            </w:r>
            <w:r w:rsidR="000B5243" w:rsidRPr="00342F45">
              <w:rPr>
                <w:rFonts w:cstheme="minorHAnsi"/>
              </w:rPr>
              <w:t xml:space="preserve"> through the prior detection of potential or actual conflict of interests by the organs of the Agency;</w:t>
            </w:r>
          </w:p>
          <w:p w14:paraId="22999E5E" w14:textId="77777777" w:rsidR="000B5243" w:rsidRPr="00342F45" w:rsidRDefault="000B5243" w:rsidP="000B5243">
            <w:pPr>
              <w:pStyle w:val="ListParagraph"/>
              <w:jc w:val="both"/>
              <w:rPr>
                <w:rFonts w:cstheme="minorHAnsi"/>
              </w:rPr>
            </w:pPr>
          </w:p>
          <w:p w14:paraId="06A5C4A7" w14:textId="6A23C1F8" w:rsidR="000B5243" w:rsidRPr="00342F45" w:rsidRDefault="000B5243" w:rsidP="000B5243">
            <w:pPr>
              <w:pStyle w:val="ListParagraph"/>
              <w:ind w:left="0"/>
              <w:jc w:val="both"/>
              <w:rPr>
                <w:rFonts w:cstheme="minorHAnsi"/>
              </w:rPr>
            </w:pPr>
            <w:r w:rsidRPr="00342F45">
              <w:rPr>
                <w:rFonts w:cstheme="minorHAnsi"/>
                <w:i/>
              </w:rPr>
              <w:t xml:space="preserve">Purpose of the release to the public of the </w:t>
            </w:r>
            <w:proofErr w:type="spellStart"/>
            <w:r w:rsidRPr="00342F45">
              <w:rPr>
                <w:rFonts w:cstheme="minorHAnsi"/>
                <w:i/>
              </w:rPr>
              <w:t>DoIs</w:t>
            </w:r>
            <w:proofErr w:type="spellEnd"/>
            <w:r w:rsidRPr="00342F45">
              <w:rPr>
                <w:rFonts w:cstheme="minorHAnsi"/>
                <w:i/>
              </w:rPr>
              <w:t xml:space="preserve"> and CVs</w:t>
            </w:r>
            <w:r w:rsidRPr="00342F45">
              <w:rPr>
                <w:rFonts w:cstheme="minorHAnsi"/>
              </w:rPr>
              <w:t>:</w:t>
            </w:r>
          </w:p>
          <w:p w14:paraId="56E8E6FC" w14:textId="77777777" w:rsidR="000B5243" w:rsidRPr="00342F45" w:rsidRDefault="000B5243" w:rsidP="000B5243">
            <w:pPr>
              <w:pStyle w:val="ListParagraph"/>
              <w:ind w:left="34"/>
              <w:jc w:val="both"/>
              <w:rPr>
                <w:rFonts w:cstheme="minorHAnsi"/>
              </w:rPr>
            </w:pPr>
          </w:p>
          <w:p w14:paraId="70DA9D01" w14:textId="78D5322A" w:rsidR="000B5243" w:rsidRPr="00342F45" w:rsidRDefault="000B5243" w:rsidP="000B5243">
            <w:pPr>
              <w:pStyle w:val="ListParagraph"/>
              <w:ind w:left="34"/>
              <w:jc w:val="both"/>
              <w:rPr>
                <w:rFonts w:cstheme="minorHAnsi"/>
              </w:rPr>
            </w:pPr>
            <w:r w:rsidRPr="00342F45">
              <w:rPr>
                <w:rFonts w:cstheme="minorHAnsi"/>
              </w:rPr>
              <w:t>The purposes of the processing activity, namely</w:t>
            </w:r>
            <w:r w:rsidRPr="00342F45">
              <w:rPr>
                <w:rFonts w:eastAsia="Times New Roman" w:cs="Arial"/>
                <w:bCs/>
              </w:rPr>
              <w:t xml:space="preserve"> the publication on the website of the Agency of the </w:t>
            </w:r>
            <w:proofErr w:type="spellStart"/>
            <w:r w:rsidRPr="00342F45">
              <w:rPr>
                <w:rFonts w:eastAsia="Times New Roman" w:cs="Arial"/>
                <w:bCs/>
              </w:rPr>
              <w:t>DoIs</w:t>
            </w:r>
            <w:proofErr w:type="spellEnd"/>
            <w:r w:rsidRPr="00342F45">
              <w:rPr>
                <w:rFonts w:eastAsia="Times New Roman" w:cs="Arial"/>
                <w:bCs/>
              </w:rPr>
              <w:t xml:space="preserve"> and CVs of </w:t>
            </w:r>
            <w:r w:rsidRPr="00342F45">
              <w:rPr>
                <w:rFonts w:cstheme="minorHAnsi"/>
              </w:rPr>
              <w:t>SM</w:t>
            </w:r>
            <w:r w:rsidRPr="00342F45">
              <w:rPr>
                <w:rFonts w:eastAsia="Times New Roman" w:cs="Arial"/>
                <w:bCs/>
              </w:rPr>
              <w:t xml:space="preserve"> is to allow:</w:t>
            </w:r>
          </w:p>
          <w:p w14:paraId="3FF22F0F" w14:textId="77777777" w:rsidR="000B5243" w:rsidRPr="00342F45" w:rsidRDefault="000B5243" w:rsidP="000B5243">
            <w:pPr>
              <w:pStyle w:val="ListParagraph"/>
              <w:ind w:left="34"/>
              <w:jc w:val="both"/>
              <w:rPr>
                <w:rFonts w:cstheme="minorHAnsi"/>
              </w:rPr>
            </w:pPr>
          </w:p>
          <w:p w14:paraId="45CA3FB5" w14:textId="069B8F5F" w:rsidR="000B5243" w:rsidRPr="00342F45" w:rsidRDefault="000B5243" w:rsidP="000B5243">
            <w:pPr>
              <w:pStyle w:val="ListParagraph"/>
              <w:numPr>
                <w:ilvl w:val="0"/>
                <w:numId w:val="5"/>
              </w:numPr>
              <w:jc w:val="both"/>
              <w:rPr>
                <w:rFonts w:cstheme="minorHAnsi"/>
              </w:rPr>
            </w:pPr>
            <w:proofErr w:type="gramStart"/>
            <w:r w:rsidRPr="00342F45">
              <w:rPr>
                <w:rFonts w:cstheme="minorHAnsi"/>
              </w:rPr>
              <w:t>prior</w:t>
            </w:r>
            <w:proofErr w:type="gramEnd"/>
            <w:r w:rsidRPr="00342F45">
              <w:rPr>
                <w:rFonts w:cstheme="minorHAnsi"/>
              </w:rPr>
              <w:t xml:space="preserve"> and/or ex-post</w:t>
            </w:r>
            <w:r w:rsidR="00815474" w:rsidRPr="00342F45">
              <w:rPr>
                <w:rFonts w:cstheme="minorHAnsi"/>
              </w:rPr>
              <w:t xml:space="preserve"> detection</w:t>
            </w:r>
            <w:r w:rsidRPr="00342F45">
              <w:rPr>
                <w:rFonts w:cstheme="minorHAnsi"/>
              </w:rPr>
              <w:t xml:space="preserve"> of potential or actual</w:t>
            </w:r>
            <w:r w:rsidR="00AC69A6" w:rsidRPr="00342F45">
              <w:rPr>
                <w:rFonts w:cstheme="minorHAnsi"/>
              </w:rPr>
              <w:t xml:space="preserve"> </w:t>
            </w:r>
            <w:r w:rsidR="003E10B5" w:rsidRPr="00342F45">
              <w:rPr>
                <w:rFonts w:cstheme="minorHAnsi"/>
              </w:rPr>
              <w:t xml:space="preserve">conflict of interests of the decision-making </w:t>
            </w:r>
            <w:r w:rsidRPr="00342F45">
              <w:rPr>
                <w:rFonts w:cstheme="minorHAnsi"/>
              </w:rPr>
              <w:t xml:space="preserve">bodies and organs </w:t>
            </w:r>
            <w:r w:rsidR="003E10B5" w:rsidRPr="00342F45">
              <w:rPr>
                <w:rFonts w:cstheme="minorHAnsi"/>
              </w:rPr>
              <w:t xml:space="preserve"> of the Agency</w:t>
            </w:r>
            <w:r w:rsidRPr="00342F45">
              <w:rPr>
                <w:rFonts w:cstheme="minorHAnsi"/>
              </w:rPr>
              <w:t>.</w:t>
            </w:r>
          </w:p>
          <w:p w14:paraId="42EADAB0" w14:textId="77777777" w:rsidR="000B5243" w:rsidRPr="00342F45" w:rsidRDefault="000B5243" w:rsidP="000B5243">
            <w:pPr>
              <w:pStyle w:val="ListParagraph"/>
              <w:jc w:val="both"/>
              <w:rPr>
                <w:rFonts w:cstheme="minorHAnsi"/>
              </w:rPr>
            </w:pPr>
          </w:p>
          <w:p w14:paraId="601F8DB2" w14:textId="67E56581" w:rsidR="00902843" w:rsidRPr="00342F45" w:rsidRDefault="000B5243" w:rsidP="000B5243">
            <w:pPr>
              <w:jc w:val="both"/>
              <w:rPr>
                <w:rFonts w:cstheme="minorHAnsi"/>
              </w:rPr>
            </w:pPr>
            <w:r w:rsidRPr="00342F45">
              <w:rPr>
                <w:rFonts w:cstheme="minorHAnsi"/>
              </w:rPr>
              <w:t xml:space="preserve">Both activities aim to ensure independence and integrity of the decision-making bodies and organs of the Agency, </w:t>
            </w:r>
            <w:r w:rsidR="00902843" w:rsidRPr="00342F45">
              <w:rPr>
                <w:rFonts w:cstheme="minorHAnsi"/>
              </w:rPr>
              <w:t>and, therefore, overall accountability of the Agency</w:t>
            </w:r>
            <w:r w:rsidRPr="00342F45">
              <w:rPr>
                <w:rFonts w:cstheme="minorHAnsi"/>
              </w:rPr>
              <w:t xml:space="preserve"> towards the public. </w:t>
            </w:r>
          </w:p>
          <w:bookmarkEnd w:id="0"/>
          <w:p w14:paraId="4C6378A1" w14:textId="77777777" w:rsidR="006D2BFC" w:rsidRPr="00342F45" w:rsidRDefault="006D2BFC" w:rsidP="00981455">
            <w:pPr>
              <w:jc w:val="both"/>
              <w:rPr>
                <w:rFonts w:eastAsia="Times New Roman" w:cs="Arial"/>
                <w:bCs/>
              </w:rPr>
            </w:pPr>
          </w:p>
          <w:p w14:paraId="7A9BAD63" w14:textId="299587A3" w:rsidR="00206E74" w:rsidRPr="00342F45" w:rsidRDefault="00206E74" w:rsidP="00981455">
            <w:pPr>
              <w:jc w:val="both"/>
              <w:rPr>
                <w:rFonts w:eastAsia="Times New Roman" w:cs="Arial"/>
                <w:bCs/>
              </w:rPr>
            </w:pPr>
            <w:r w:rsidRPr="00342F45">
              <w:rPr>
                <w:rFonts w:eastAsia="Times New Roman" w:cs="Arial"/>
                <w:bCs/>
              </w:rPr>
              <w:t>E</w:t>
            </w:r>
            <w:r w:rsidR="00452887" w:rsidRPr="00342F45">
              <w:rPr>
                <w:rFonts w:eastAsia="Times New Roman" w:cs="Arial"/>
                <w:bCs/>
              </w:rPr>
              <w:t xml:space="preserve">ach </w:t>
            </w:r>
            <w:r w:rsidRPr="00342F45">
              <w:rPr>
                <w:rFonts w:eastAsia="Times New Roman" w:cs="Arial"/>
                <w:bCs/>
              </w:rPr>
              <w:t>senior manager</w:t>
            </w:r>
            <w:r w:rsidR="00452887" w:rsidRPr="00342F45">
              <w:rPr>
                <w:rFonts w:eastAsia="Times New Roman" w:cs="Arial"/>
                <w:bCs/>
              </w:rPr>
              <w:t xml:space="preserve"> shall make a written </w:t>
            </w:r>
            <w:proofErr w:type="spellStart"/>
            <w:r w:rsidR="00902843" w:rsidRPr="00342F45">
              <w:rPr>
                <w:rFonts w:eastAsia="Times New Roman" w:cs="Arial"/>
                <w:bCs/>
              </w:rPr>
              <w:t>DoI</w:t>
            </w:r>
            <w:proofErr w:type="spellEnd"/>
            <w:r w:rsidR="00452887" w:rsidRPr="00342F45">
              <w:rPr>
                <w:rFonts w:eastAsia="Times New Roman" w:cs="Arial"/>
                <w:bCs/>
              </w:rPr>
              <w:t xml:space="preserve"> indicating either the absence of any interest which may be considered prejudicial to his independence or any direct or indirect interest which might be considered </w:t>
            </w:r>
            <w:r w:rsidR="00452887" w:rsidRPr="00342F45">
              <w:rPr>
                <w:rFonts w:eastAsia="Times New Roman" w:cs="Arial"/>
                <w:bCs/>
              </w:rPr>
              <w:lastRenderedPageBreak/>
              <w:t>prejudicial to his</w:t>
            </w:r>
            <w:r w:rsidRPr="00342F45">
              <w:rPr>
                <w:rFonts w:eastAsia="Times New Roman" w:cs="Arial"/>
                <w:bCs/>
              </w:rPr>
              <w:t>/her</w:t>
            </w:r>
            <w:r w:rsidR="00452887" w:rsidRPr="00342F45">
              <w:rPr>
                <w:rFonts w:eastAsia="Times New Roman" w:cs="Arial"/>
                <w:bCs/>
              </w:rPr>
              <w:t xml:space="preserve"> independence</w:t>
            </w:r>
            <w:r w:rsidRPr="00342F45">
              <w:rPr>
                <w:rFonts w:eastAsia="Times New Roman" w:cs="Arial"/>
                <w:bCs/>
              </w:rPr>
              <w:t xml:space="preserve"> in the execution of his/her charge</w:t>
            </w:r>
            <w:r w:rsidR="00452887" w:rsidRPr="00342F45">
              <w:rPr>
                <w:rFonts w:eastAsia="Times New Roman" w:cs="Arial"/>
                <w:bCs/>
              </w:rPr>
              <w:t>.</w:t>
            </w:r>
            <w:r w:rsidRPr="00342F45">
              <w:rPr>
                <w:rFonts w:eastAsia="Times New Roman" w:cs="Arial"/>
                <w:bCs/>
              </w:rPr>
              <w:t xml:space="preserve"> </w:t>
            </w:r>
            <w:r w:rsidR="004F0888" w:rsidRPr="00342F45">
              <w:rPr>
                <w:rFonts w:eastAsia="Times New Roman" w:cs="Arial"/>
                <w:bCs/>
              </w:rPr>
              <w:t xml:space="preserve">Each of them shall also provide a non-confidential version of such </w:t>
            </w:r>
            <w:proofErr w:type="spellStart"/>
            <w:r w:rsidR="004F0888" w:rsidRPr="00342F45">
              <w:rPr>
                <w:rFonts w:eastAsia="Times New Roman" w:cs="Arial"/>
                <w:bCs/>
              </w:rPr>
              <w:t>DoI</w:t>
            </w:r>
            <w:proofErr w:type="spellEnd"/>
            <w:r w:rsidR="004F0888" w:rsidRPr="00342F45">
              <w:rPr>
                <w:rFonts w:eastAsia="Times New Roman" w:cs="Arial"/>
                <w:bCs/>
              </w:rPr>
              <w:t>, where the signature shall not be present.</w:t>
            </w:r>
          </w:p>
          <w:p w14:paraId="593035AA" w14:textId="77777777" w:rsidR="00206E74" w:rsidRPr="00342F45" w:rsidRDefault="00206E74" w:rsidP="00981455">
            <w:pPr>
              <w:jc w:val="both"/>
              <w:rPr>
                <w:rFonts w:eastAsia="Times New Roman" w:cs="Arial"/>
                <w:bCs/>
              </w:rPr>
            </w:pPr>
          </w:p>
          <w:p w14:paraId="7ECCCE9A" w14:textId="77777777" w:rsidR="00B222C7" w:rsidRPr="00342F45" w:rsidRDefault="00206E74" w:rsidP="00981455">
            <w:pPr>
              <w:jc w:val="both"/>
              <w:rPr>
                <w:rFonts w:eastAsia="Times New Roman" w:cs="Arial"/>
                <w:bCs/>
              </w:rPr>
            </w:pPr>
            <w:r w:rsidRPr="00342F45">
              <w:rPr>
                <w:rFonts w:eastAsia="Times New Roman" w:cs="Arial"/>
                <w:bCs/>
              </w:rPr>
              <w:t xml:space="preserve">In addition, each </w:t>
            </w:r>
            <w:r w:rsidR="00902843" w:rsidRPr="00342F45">
              <w:rPr>
                <w:rFonts w:eastAsia="Times New Roman" w:cs="Arial"/>
                <w:bCs/>
              </w:rPr>
              <w:t xml:space="preserve">member of the SM </w:t>
            </w:r>
            <w:r w:rsidRPr="00342F45">
              <w:rPr>
                <w:rFonts w:eastAsia="Times New Roman" w:cs="Arial"/>
                <w:bCs/>
              </w:rPr>
              <w:t xml:space="preserve">shall provide his/her Curriculum Vitae to be </w:t>
            </w:r>
            <w:r w:rsidR="00902843" w:rsidRPr="00342F45">
              <w:rPr>
                <w:rFonts w:eastAsia="Times New Roman" w:cs="Arial"/>
                <w:bCs/>
              </w:rPr>
              <w:t>reviewed together with the declaration</w:t>
            </w:r>
            <w:r w:rsidR="00B222C7" w:rsidRPr="00342F45">
              <w:rPr>
                <w:rFonts w:eastAsia="Times New Roman" w:cs="Arial"/>
                <w:bCs/>
              </w:rPr>
              <w:t xml:space="preserve"> of interests. </w:t>
            </w:r>
          </w:p>
          <w:p w14:paraId="6779C09A" w14:textId="77777777" w:rsidR="00902843" w:rsidRPr="00342F45" w:rsidRDefault="00902843" w:rsidP="00981455">
            <w:pPr>
              <w:jc w:val="both"/>
              <w:rPr>
                <w:rFonts w:eastAsia="Times New Roman" w:cs="Arial"/>
                <w:bCs/>
              </w:rPr>
            </w:pPr>
          </w:p>
          <w:p w14:paraId="5844ACA5" w14:textId="13FC60E6" w:rsidR="00902843" w:rsidRPr="00342F45" w:rsidRDefault="000B5243" w:rsidP="00981455">
            <w:pPr>
              <w:jc w:val="both"/>
              <w:rPr>
                <w:rFonts w:eastAsia="Times New Roman" w:cs="Arial"/>
                <w:bCs/>
              </w:rPr>
            </w:pPr>
            <w:r w:rsidRPr="00342F45">
              <w:rPr>
                <w:rFonts w:eastAsia="Times New Roman" w:cs="Arial"/>
                <w:bCs/>
              </w:rPr>
              <w:t>After their review, t</w:t>
            </w:r>
            <w:r w:rsidR="00902843" w:rsidRPr="00342F45">
              <w:rPr>
                <w:rFonts w:eastAsia="Times New Roman" w:cs="Arial"/>
                <w:bCs/>
              </w:rPr>
              <w:t xml:space="preserve">he </w:t>
            </w:r>
            <w:r w:rsidR="00B222C7" w:rsidRPr="00342F45">
              <w:rPr>
                <w:rFonts w:eastAsia="Times New Roman" w:cs="Arial"/>
                <w:bCs/>
              </w:rPr>
              <w:t xml:space="preserve">non-confidential version of the </w:t>
            </w:r>
            <w:proofErr w:type="spellStart"/>
            <w:r w:rsidR="00902843" w:rsidRPr="00342F45">
              <w:rPr>
                <w:rFonts w:eastAsia="Times New Roman" w:cs="Arial"/>
                <w:bCs/>
              </w:rPr>
              <w:t>DoI</w:t>
            </w:r>
            <w:proofErr w:type="spellEnd"/>
            <w:r w:rsidR="00902843" w:rsidRPr="00342F45">
              <w:rPr>
                <w:rFonts w:eastAsia="Times New Roman" w:cs="Arial"/>
                <w:bCs/>
              </w:rPr>
              <w:t xml:space="preserve"> and </w:t>
            </w:r>
            <w:r w:rsidR="00B222C7" w:rsidRPr="00342F45">
              <w:rPr>
                <w:rFonts w:eastAsia="Times New Roman" w:cs="Arial"/>
                <w:bCs/>
              </w:rPr>
              <w:t xml:space="preserve">the </w:t>
            </w:r>
            <w:r w:rsidR="00902843" w:rsidRPr="00342F45">
              <w:rPr>
                <w:rFonts w:eastAsia="Times New Roman" w:cs="Arial"/>
                <w:bCs/>
              </w:rPr>
              <w:t>CV are published on the Agency’s website</w:t>
            </w:r>
            <w:r w:rsidR="00AC78AC" w:rsidRPr="00342F45">
              <w:rPr>
                <w:rFonts w:eastAsia="Times New Roman" w:cs="Arial"/>
                <w:bCs/>
              </w:rPr>
              <w:t xml:space="preserve"> and annually updated</w:t>
            </w:r>
            <w:r w:rsidR="00902843" w:rsidRPr="00342F45">
              <w:rPr>
                <w:rFonts w:eastAsia="Times New Roman" w:cs="Arial"/>
                <w:bCs/>
              </w:rPr>
              <w:t>.</w:t>
            </w:r>
          </w:p>
          <w:p w14:paraId="7EBA3247" w14:textId="77777777" w:rsidR="00D24402" w:rsidRPr="00342F45" w:rsidRDefault="00D24402" w:rsidP="00443F5B">
            <w:pPr>
              <w:rPr>
                <w:rFonts w:eastAsia="Times New Roman" w:cs="Arial"/>
                <w:bCs/>
              </w:rPr>
            </w:pPr>
          </w:p>
          <w:p w14:paraId="39392B6B" w14:textId="77777777" w:rsidR="002A77AC" w:rsidRPr="00342F45" w:rsidRDefault="002A77AC" w:rsidP="00CD1E59">
            <w:pPr>
              <w:rPr>
                <w:rFonts w:ascii="Arial" w:eastAsia="Times New Roman" w:hAnsi="Arial" w:cs="Arial"/>
                <w:bCs/>
                <w:i/>
                <w:sz w:val="20"/>
                <w:szCs w:val="20"/>
              </w:rPr>
            </w:pPr>
          </w:p>
        </w:tc>
      </w:tr>
      <w:tr w:rsidR="00B75A0F" w14:paraId="25BD74F4" w14:textId="77777777" w:rsidTr="00B75A0F">
        <w:tc>
          <w:tcPr>
            <w:tcW w:w="9990" w:type="dxa"/>
          </w:tcPr>
          <w:p w14:paraId="73A92DBF" w14:textId="6B3D3169" w:rsidR="002A77AC" w:rsidRPr="00342F45" w:rsidRDefault="00B75A0F">
            <w:pPr>
              <w:rPr>
                <w:rFonts w:ascii="Arial" w:eastAsia="Times New Roman" w:hAnsi="Arial" w:cs="Arial"/>
                <w:b/>
                <w:bCs/>
                <w:sz w:val="20"/>
                <w:szCs w:val="20"/>
              </w:rPr>
            </w:pPr>
            <w:r w:rsidRPr="00342F45">
              <w:rPr>
                <w:rFonts w:ascii="Arial" w:eastAsia="Times New Roman" w:hAnsi="Arial" w:cs="Arial"/>
                <w:b/>
                <w:bCs/>
                <w:sz w:val="20"/>
                <w:szCs w:val="20"/>
              </w:rPr>
              <w:lastRenderedPageBreak/>
              <w:t> 5/ Description of the category or categories of data subjects</w:t>
            </w:r>
            <w:r w:rsidR="006E0788" w:rsidRPr="00342F45">
              <w:rPr>
                <w:rFonts w:ascii="Arial" w:eastAsia="Times New Roman" w:hAnsi="Arial" w:cs="Arial"/>
                <w:b/>
                <w:bCs/>
                <w:sz w:val="20"/>
                <w:szCs w:val="20"/>
              </w:rPr>
              <w:t xml:space="preserve"> </w:t>
            </w:r>
          </w:p>
          <w:p w14:paraId="3C4CEDE0" w14:textId="77777777" w:rsidR="002A77AC" w:rsidRPr="00342F45" w:rsidRDefault="002A77AC">
            <w:pPr>
              <w:rPr>
                <w:rFonts w:ascii="Arial" w:hAnsi="Arial" w:cs="Arial"/>
                <w:i/>
                <w:sz w:val="20"/>
                <w:szCs w:val="20"/>
                <w:lang w:val="en"/>
              </w:rPr>
            </w:pPr>
          </w:p>
          <w:p w14:paraId="75FCA62B" w14:textId="77777777" w:rsidR="00E338BF" w:rsidRPr="00342F45" w:rsidRDefault="00E338BF" w:rsidP="00E338BF">
            <w:pPr>
              <w:rPr>
                <w:rFonts w:cs="Arial"/>
                <w:lang w:val="en"/>
              </w:rPr>
            </w:pPr>
            <w:r w:rsidRPr="00342F45">
              <w:rPr>
                <w:rFonts w:cs="Arial"/>
                <w:lang w:val="en"/>
              </w:rPr>
              <w:t>The following categories of data subjects can be identified:</w:t>
            </w:r>
          </w:p>
          <w:p w14:paraId="2445867F" w14:textId="77777777" w:rsidR="00E338BF" w:rsidRPr="00342F45" w:rsidRDefault="00E338BF">
            <w:pPr>
              <w:rPr>
                <w:rFonts w:cs="Arial"/>
              </w:rPr>
            </w:pPr>
          </w:p>
          <w:p w14:paraId="541F1011" w14:textId="4033BB32" w:rsidR="00AD77E4" w:rsidRPr="00342F45" w:rsidRDefault="00902843" w:rsidP="00902843">
            <w:pPr>
              <w:pStyle w:val="ListParagraph"/>
              <w:numPr>
                <w:ilvl w:val="0"/>
                <w:numId w:val="25"/>
              </w:numPr>
              <w:jc w:val="both"/>
              <w:rPr>
                <w:rFonts w:ascii="Arial" w:hAnsi="Arial" w:cs="Arial"/>
                <w:i/>
                <w:sz w:val="20"/>
                <w:szCs w:val="20"/>
                <w:lang w:val="en"/>
              </w:rPr>
            </w:pPr>
            <w:r w:rsidRPr="00342F45">
              <w:rPr>
                <w:rFonts w:cstheme="minorHAnsi"/>
              </w:rPr>
              <w:t>Heads of the Departments of the Agency</w:t>
            </w:r>
            <w:r w:rsidR="006D2BFC" w:rsidRPr="00342F45">
              <w:rPr>
                <w:rFonts w:cs="Arial"/>
                <w:lang w:val="en"/>
              </w:rPr>
              <w:t>.</w:t>
            </w:r>
          </w:p>
          <w:p w14:paraId="46B841B4" w14:textId="77777777" w:rsidR="002A77AC" w:rsidRPr="00342F45" w:rsidRDefault="002A77AC"/>
        </w:tc>
      </w:tr>
      <w:tr w:rsidR="00B75A0F" w14:paraId="634537D0" w14:textId="77777777" w:rsidTr="00B75A0F">
        <w:tc>
          <w:tcPr>
            <w:tcW w:w="9990" w:type="dxa"/>
          </w:tcPr>
          <w:p w14:paraId="703C70F5" w14:textId="1E73D361" w:rsidR="002A77AC" w:rsidRPr="00342F45" w:rsidRDefault="00B75A0F" w:rsidP="00566C6E">
            <w:pPr>
              <w:rPr>
                <w:rFonts w:ascii="Arial" w:eastAsia="Times New Roman" w:hAnsi="Arial" w:cs="Arial"/>
                <w:b/>
                <w:bCs/>
                <w:sz w:val="20"/>
                <w:szCs w:val="20"/>
              </w:rPr>
            </w:pPr>
            <w:r w:rsidRPr="00342F45">
              <w:rPr>
                <w:rFonts w:ascii="Arial" w:eastAsia="Times New Roman" w:hAnsi="Arial" w:cs="Arial"/>
                <w:b/>
                <w:bCs/>
                <w:sz w:val="20"/>
                <w:szCs w:val="20"/>
              </w:rPr>
              <w:t> 6/ Description of the data or categories of data</w:t>
            </w:r>
          </w:p>
          <w:p w14:paraId="59C6494F" w14:textId="77777777" w:rsidR="002A77AC" w:rsidRPr="00342F45" w:rsidRDefault="002A77AC" w:rsidP="00566C6E">
            <w:pPr>
              <w:rPr>
                <w:rFonts w:ascii="Arial" w:eastAsia="Times New Roman" w:hAnsi="Arial" w:cs="Arial"/>
                <w:bCs/>
                <w:i/>
                <w:iCs/>
                <w:sz w:val="20"/>
                <w:szCs w:val="20"/>
              </w:rPr>
            </w:pPr>
          </w:p>
          <w:p w14:paraId="5EAC5919" w14:textId="169862C4" w:rsidR="002F1FFF" w:rsidRPr="00342F45" w:rsidRDefault="004B1B9A" w:rsidP="00566C6E">
            <w:pPr>
              <w:rPr>
                <w:rFonts w:eastAsia="Times New Roman" w:cs="Arial"/>
                <w:bCs/>
                <w:iCs/>
              </w:rPr>
            </w:pPr>
            <w:r w:rsidRPr="00342F45">
              <w:rPr>
                <w:rFonts w:eastAsia="Times New Roman" w:cs="Arial"/>
                <w:bCs/>
                <w:i/>
                <w:iCs/>
              </w:rPr>
              <w:t>D</w:t>
            </w:r>
            <w:r w:rsidR="002F1FFF" w:rsidRPr="00342F45">
              <w:rPr>
                <w:rFonts w:eastAsia="Times New Roman" w:cs="Arial"/>
                <w:bCs/>
                <w:i/>
                <w:iCs/>
              </w:rPr>
              <w:t xml:space="preserve">eclaration </w:t>
            </w:r>
            <w:r w:rsidRPr="00342F45">
              <w:rPr>
                <w:rFonts w:eastAsia="Times New Roman" w:cs="Arial"/>
                <w:bCs/>
                <w:i/>
                <w:iCs/>
              </w:rPr>
              <w:t>o</w:t>
            </w:r>
            <w:r w:rsidR="002F1FFF" w:rsidRPr="00342F45">
              <w:rPr>
                <w:rFonts w:eastAsia="Times New Roman" w:cs="Arial"/>
                <w:bCs/>
                <w:i/>
                <w:iCs/>
              </w:rPr>
              <w:t xml:space="preserve">f </w:t>
            </w:r>
            <w:r w:rsidRPr="00342F45">
              <w:rPr>
                <w:rFonts w:eastAsia="Times New Roman" w:cs="Arial"/>
                <w:bCs/>
                <w:i/>
                <w:iCs/>
              </w:rPr>
              <w:t>I</w:t>
            </w:r>
            <w:r w:rsidR="002F1FFF" w:rsidRPr="00342F45">
              <w:rPr>
                <w:rFonts w:eastAsia="Times New Roman" w:cs="Arial"/>
                <w:bCs/>
                <w:i/>
                <w:iCs/>
              </w:rPr>
              <w:t>nterest</w:t>
            </w:r>
            <w:r w:rsidR="00BA6237" w:rsidRPr="00342F45">
              <w:rPr>
                <w:rFonts w:eastAsia="Times New Roman" w:cs="Arial"/>
                <w:bCs/>
                <w:i/>
                <w:iCs/>
              </w:rPr>
              <w:t xml:space="preserve"> </w:t>
            </w:r>
          </w:p>
          <w:p w14:paraId="6069ACEE" w14:textId="77777777" w:rsidR="002F1FFF" w:rsidRPr="00342F45" w:rsidRDefault="002F1FFF" w:rsidP="00566C6E">
            <w:pPr>
              <w:rPr>
                <w:rFonts w:eastAsia="Times New Roman" w:cs="Arial"/>
                <w:bCs/>
                <w:iCs/>
              </w:rPr>
            </w:pPr>
          </w:p>
          <w:p w14:paraId="1528D582" w14:textId="374741C3" w:rsidR="00830FC3" w:rsidRPr="00342F45" w:rsidRDefault="002F1FFF" w:rsidP="00566C6E">
            <w:pPr>
              <w:rPr>
                <w:rFonts w:eastAsia="Times New Roman" w:cs="Arial"/>
                <w:bCs/>
                <w:iCs/>
              </w:rPr>
            </w:pPr>
            <w:r w:rsidRPr="00342F45">
              <w:rPr>
                <w:rFonts w:eastAsia="Times New Roman" w:cs="Arial"/>
                <w:bCs/>
                <w:iCs/>
              </w:rPr>
              <w:t xml:space="preserve">The </w:t>
            </w:r>
            <w:proofErr w:type="spellStart"/>
            <w:r w:rsidRPr="00342F45">
              <w:rPr>
                <w:rFonts w:eastAsia="Times New Roman" w:cs="Arial"/>
                <w:bCs/>
                <w:iCs/>
              </w:rPr>
              <w:t>DoI</w:t>
            </w:r>
            <w:proofErr w:type="spellEnd"/>
            <w:r w:rsidRPr="00342F45">
              <w:rPr>
                <w:rFonts w:eastAsia="Times New Roman" w:cs="Arial"/>
                <w:bCs/>
                <w:iCs/>
              </w:rPr>
              <w:t xml:space="preserve"> forms provided to the SM requires to submit the following data</w:t>
            </w:r>
            <w:r w:rsidR="00830FC3" w:rsidRPr="00342F45">
              <w:rPr>
                <w:rFonts w:eastAsia="Times New Roman" w:cs="Arial"/>
                <w:bCs/>
                <w:iCs/>
              </w:rPr>
              <w:t>:</w:t>
            </w:r>
          </w:p>
          <w:p w14:paraId="01E97A03" w14:textId="77777777" w:rsidR="0010386C" w:rsidRPr="00342F45" w:rsidRDefault="0010386C" w:rsidP="00566C6E">
            <w:pPr>
              <w:rPr>
                <w:rFonts w:eastAsia="Times New Roman" w:cs="Arial"/>
                <w:bCs/>
                <w:iCs/>
              </w:rPr>
            </w:pPr>
          </w:p>
          <w:p w14:paraId="304FE61B" w14:textId="7FDB3D32" w:rsidR="00830FC3" w:rsidRPr="00342F45" w:rsidRDefault="00E338BF" w:rsidP="00830FC3">
            <w:pPr>
              <w:pStyle w:val="ListParagraph"/>
              <w:numPr>
                <w:ilvl w:val="0"/>
                <w:numId w:val="7"/>
              </w:numPr>
              <w:autoSpaceDE w:val="0"/>
              <w:autoSpaceDN w:val="0"/>
              <w:adjustRightInd w:val="0"/>
              <w:rPr>
                <w:rFonts w:cs="Verdana"/>
              </w:rPr>
            </w:pPr>
            <w:r w:rsidRPr="00342F45">
              <w:rPr>
                <w:rFonts w:cs="Verdana"/>
              </w:rPr>
              <w:t>Full Name</w:t>
            </w:r>
            <w:r w:rsidR="00246CA9" w:rsidRPr="00342F45">
              <w:rPr>
                <w:rFonts w:cs="Verdana"/>
              </w:rPr>
              <w:t xml:space="preserve"> (Names, Family Names)</w:t>
            </w:r>
            <w:r w:rsidR="00830FC3" w:rsidRPr="00342F45">
              <w:rPr>
                <w:rFonts w:cs="Verdana"/>
              </w:rPr>
              <w:t>;</w:t>
            </w:r>
          </w:p>
          <w:p w14:paraId="5C4A8919" w14:textId="327A59BA" w:rsidR="00255A94" w:rsidRPr="00342F45" w:rsidRDefault="00255A94" w:rsidP="00830FC3">
            <w:pPr>
              <w:pStyle w:val="ListParagraph"/>
              <w:numPr>
                <w:ilvl w:val="0"/>
                <w:numId w:val="7"/>
              </w:numPr>
              <w:autoSpaceDE w:val="0"/>
              <w:autoSpaceDN w:val="0"/>
              <w:adjustRightInd w:val="0"/>
              <w:rPr>
                <w:rFonts w:cs="Verdana"/>
              </w:rPr>
            </w:pPr>
            <w:r w:rsidRPr="00342F45">
              <w:rPr>
                <w:rFonts w:cs="Verdana"/>
              </w:rPr>
              <w:t>Signature;</w:t>
            </w:r>
          </w:p>
          <w:p w14:paraId="648D5E9F" w14:textId="37906124" w:rsidR="005E6DB0" w:rsidRPr="00342F45" w:rsidRDefault="00F90855" w:rsidP="00830FC3">
            <w:pPr>
              <w:pStyle w:val="ListParagraph"/>
              <w:numPr>
                <w:ilvl w:val="0"/>
                <w:numId w:val="7"/>
              </w:numPr>
              <w:autoSpaceDE w:val="0"/>
              <w:autoSpaceDN w:val="0"/>
              <w:adjustRightInd w:val="0"/>
              <w:rPr>
                <w:rFonts w:cs="Verdana"/>
              </w:rPr>
            </w:pPr>
            <w:r w:rsidRPr="00342F45">
              <w:rPr>
                <w:rFonts w:cs="Verdana"/>
              </w:rPr>
              <w:t>Any interest that the data subject considers prejudicial to his</w:t>
            </w:r>
            <w:r w:rsidR="00286AC3" w:rsidRPr="00342F45">
              <w:rPr>
                <w:rFonts w:cs="Verdana"/>
              </w:rPr>
              <w:t>/her</w:t>
            </w:r>
            <w:r w:rsidRPr="00342F45">
              <w:rPr>
                <w:rFonts w:cs="Verdana"/>
              </w:rPr>
              <w:t xml:space="preserve"> independenc</w:t>
            </w:r>
            <w:r w:rsidR="005E6DB0" w:rsidRPr="00342F45">
              <w:rPr>
                <w:rFonts w:cs="Verdana"/>
              </w:rPr>
              <w:t>e</w:t>
            </w:r>
            <w:r w:rsidR="0096734E" w:rsidRPr="00342F45">
              <w:rPr>
                <w:rFonts w:cs="Verdana"/>
              </w:rPr>
              <w:t xml:space="preserve"> in the performance of his/her duties as a member of the </w:t>
            </w:r>
            <w:r w:rsidR="00AF5DD8" w:rsidRPr="00342F45">
              <w:rPr>
                <w:rFonts w:cs="Verdana"/>
              </w:rPr>
              <w:t>SM</w:t>
            </w:r>
            <w:r w:rsidR="005E6DB0" w:rsidRPr="00342F45">
              <w:rPr>
                <w:rFonts w:cs="Verdana"/>
              </w:rPr>
              <w:t>, such as:</w:t>
            </w:r>
          </w:p>
          <w:p w14:paraId="68A78C42" w14:textId="6A7155EE" w:rsidR="00830FC3" w:rsidRPr="00342F45" w:rsidRDefault="00830FC3" w:rsidP="0010386C">
            <w:pPr>
              <w:pStyle w:val="ListParagraph"/>
              <w:numPr>
                <w:ilvl w:val="1"/>
                <w:numId w:val="23"/>
              </w:numPr>
              <w:tabs>
                <w:tab w:val="left" w:pos="1026"/>
              </w:tabs>
              <w:autoSpaceDE w:val="0"/>
              <w:autoSpaceDN w:val="0"/>
              <w:adjustRightInd w:val="0"/>
              <w:spacing w:before="120"/>
              <w:ind w:left="1027" w:hanging="284"/>
              <w:contextualSpacing w:val="0"/>
              <w:rPr>
                <w:rFonts w:cs="Verdana"/>
              </w:rPr>
            </w:pPr>
            <w:r w:rsidRPr="00342F45">
              <w:rPr>
                <w:rFonts w:cs="Verdana"/>
              </w:rPr>
              <w:t xml:space="preserve">Position in the Agency’s organization; </w:t>
            </w:r>
          </w:p>
          <w:p w14:paraId="20F5807A" w14:textId="56D6B9B4" w:rsidR="00830FC3" w:rsidRPr="00342F45" w:rsidRDefault="00830FC3" w:rsidP="000D7AA8">
            <w:pPr>
              <w:pStyle w:val="ListParagraph"/>
              <w:numPr>
                <w:ilvl w:val="1"/>
                <w:numId w:val="23"/>
              </w:numPr>
              <w:tabs>
                <w:tab w:val="left" w:pos="1026"/>
              </w:tabs>
              <w:autoSpaceDE w:val="0"/>
              <w:autoSpaceDN w:val="0"/>
              <w:adjustRightInd w:val="0"/>
              <w:ind w:left="1026" w:hanging="283"/>
              <w:jc w:val="both"/>
              <w:rPr>
                <w:rFonts w:cs="Verdana"/>
              </w:rPr>
            </w:pPr>
            <w:r w:rsidRPr="00342F45">
              <w:rPr>
                <w:rFonts w:cs="Verdana"/>
              </w:rPr>
              <w:t>Private interests</w:t>
            </w:r>
            <w:r w:rsidR="006D2BFC" w:rsidRPr="00342F45">
              <w:rPr>
                <w:rFonts w:cs="Verdana"/>
              </w:rPr>
              <w:t xml:space="preserve">, </w:t>
            </w:r>
            <w:r w:rsidRPr="00342F45">
              <w:rPr>
                <w:rFonts w:cs="Verdana"/>
              </w:rPr>
              <w:t xml:space="preserve">including </w:t>
            </w:r>
            <w:r w:rsidR="006D2BFC" w:rsidRPr="00342F45">
              <w:rPr>
                <w:rFonts w:cs="Verdana"/>
              </w:rPr>
              <w:t xml:space="preserve">interests hold by </w:t>
            </w:r>
            <w:r w:rsidRPr="00342F45">
              <w:rPr>
                <w:rFonts w:cs="Verdana"/>
              </w:rPr>
              <w:t>their close family members (spouse, partner and/or dependent children)</w:t>
            </w:r>
            <w:r w:rsidR="0010386C" w:rsidRPr="00342F45">
              <w:rPr>
                <w:rFonts w:cs="Verdana"/>
              </w:rPr>
              <w:t xml:space="preserve"> such as:</w:t>
            </w:r>
          </w:p>
          <w:p w14:paraId="1365A80E" w14:textId="354F4BD2" w:rsidR="00830FC3" w:rsidRPr="00342F45" w:rsidRDefault="00830FC3" w:rsidP="000D7AA8">
            <w:pPr>
              <w:pStyle w:val="ListParagraph"/>
              <w:numPr>
                <w:ilvl w:val="1"/>
                <w:numId w:val="27"/>
              </w:numPr>
              <w:tabs>
                <w:tab w:val="left" w:pos="987"/>
              </w:tabs>
              <w:autoSpaceDE w:val="0"/>
              <w:autoSpaceDN w:val="0"/>
              <w:adjustRightInd w:val="0"/>
              <w:jc w:val="both"/>
              <w:rPr>
                <w:rFonts w:cs="Verdana"/>
              </w:rPr>
            </w:pPr>
            <w:r w:rsidRPr="00342F45">
              <w:rPr>
                <w:rFonts w:eastAsia="Times New Roman" w:cs="Arial"/>
                <w:bCs/>
                <w:iCs/>
              </w:rPr>
              <w:t>Employment</w:t>
            </w:r>
            <w:r w:rsidR="006D2BFC" w:rsidRPr="00342F45">
              <w:rPr>
                <w:rFonts w:eastAsia="Times New Roman" w:cs="Arial"/>
                <w:bCs/>
                <w:iCs/>
              </w:rPr>
              <w:t xml:space="preserve"> Relationship</w:t>
            </w:r>
            <w:r w:rsidR="0010386C" w:rsidRPr="00342F45">
              <w:rPr>
                <w:rFonts w:eastAsia="Times New Roman" w:cs="Arial"/>
                <w:bCs/>
                <w:iCs/>
              </w:rPr>
              <w:t xml:space="preserve"> with entities or organizations active in the field of activity of the Agency</w:t>
            </w:r>
            <w:r w:rsidRPr="00342F45">
              <w:rPr>
                <w:rFonts w:eastAsia="Times New Roman" w:cs="Arial"/>
                <w:bCs/>
                <w:iCs/>
              </w:rPr>
              <w:t>;</w:t>
            </w:r>
          </w:p>
          <w:p w14:paraId="7B0325CD" w14:textId="069F0157" w:rsidR="00830FC3" w:rsidRPr="00342F45" w:rsidRDefault="00830FC3" w:rsidP="000D7AA8">
            <w:pPr>
              <w:pStyle w:val="ListParagraph"/>
              <w:numPr>
                <w:ilvl w:val="1"/>
                <w:numId w:val="27"/>
              </w:numPr>
              <w:tabs>
                <w:tab w:val="left" w:pos="987"/>
              </w:tabs>
              <w:autoSpaceDE w:val="0"/>
              <w:autoSpaceDN w:val="0"/>
              <w:adjustRightInd w:val="0"/>
              <w:jc w:val="both"/>
              <w:rPr>
                <w:rFonts w:cs="Verdana"/>
              </w:rPr>
            </w:pPr>
            <w:r w:rsidRPr="00342F45">
              <w:rPr>
                <w:rFonts w:eastAsia="Times New Roman" w:cs="Arial"/>
                <w:bCs/>
                <w:iCs/>
              </w:rPr>
              <w:t xml:space="preserve">Consultancy; </w:t>
            </w:r>
          </w:p>
          <w:p w14:paraId="7C1FD921" w14:textId="3CB968AB" w:rsidR="00830FC3" w:rsidRPr="00342F45" w:rsidRDefault="00830FC3" w:rsidP="000D7AA8">
            <w:pPr>
              <w:pStyle w:val="ListParagraph"/>
              <w:numPr>
                <w:ilvl w:val="1"/>
                <w:numId w:val="27"/>
              </w:numPr>
              <w:tabs>
                <w:tab w:val="left" w:pos="987"/>
              </w:tabs>
              <w:autoSpaceDE w:val="0"/>
              <w:autoSpaceDN w:val="0"/>
              <w:adjustRightInd w:val="0"/>
              <w:jc w:val="both"/>
              <w:rPr>
                <w:rFonts w:cs="Verdana"/>
              </w:rPr>
            </w:pPr>
            <w:r w:rsidRPr="00342F45">
              <w:rPr>
                <w:rFonts w:eastAsia="Times New Roman" w:cs="Arial"/>
                <w:bCs/>
                <w:iCs/>
              </w:rPr>
              <w:t>Legal representation or Advice;</w:t>
            </w:r>
          </w:p>
          <w:p w14:paraId="29BFE250" w14:textId="36EA721E" w:rsidR="0010386C" w:rsidRPr="00342F45" w:rsidRDefault="00830FC3" w:rsidP="000D7AA8">
            <w:pPr>
              <w:pStyle w:val="ListParagraph"/>
              <w:numPr>
                <w:ilvl w:val="1"/>
                <w:numId w:val="26"/>
              </w:numPr>
              <w:tabs>
                <w:tab w:val="left" w:pos="987"/>
              </w:tabs>
              <w:autoSpaceDE w:val="0"/>
              <w:autoSpaceDN w:val="0"/>
              <w:adjustRightInd w:val="0"/>
              <w:jc w:val="both"/>
              <w:rPr>
                <w:rFonts w:eastAsia="Times New Roman" w:cs="Arial"/>
                <w:bCs/>
                <w:iCs/>
              </w:rPr>
            </w:pPr>
            <w:r w:rsidRPr="00342F45">
              <w:rPr>
                <w:rFonts w:eastAsia="Times New Roman" w:cs="Arial"/>
                <w:bCs/>
                <w:iCs/>
              </w:rPr>
              <w:t>Membership of managing bodies, advisory body or equivalent structure</w:t>
            </w:r>
            <w:r w:rsidR="0010386C" w:rsidRPr="00342F45">
              <w:rPr>
                <w:rFonts w:eastAsia="Times New Roman" w:cs="Arial"/>
                <w:bCs/>
                <w:iCs/>
              </w:rPr>
              <w:t xml:space="preserve"> in entities or </w:t>
            </w:r>
            <w:proofErr w:type="spellStart"/>
            <w:r w:rsidR="0010386C" w:rsidRPr="00342F45">
              <w:rPr>
                <w:rFonts w:eastAsia="Times New Roman" w:cs="Arial"/>
                <w:bCs/>
                <w:iCs/>
              </w:rPr>
              <w:t>organisations</w:t>
            </w:r>
            <w:proofErr w:type="spellEnd"/>
            <w:r w:rsidR="0010386C" w:rsidRPr="00342F45">
              <w:rPr>
                <w:rFonts w:eastAsia="Times New Roman" w:cs="Arial"/>
                <w:bCs/>
                <w:iCs/>
              </w:rPr>
              <w:t xml:space="preserve"> active in a field of activity of the Agency or having voting rights in such </w:t>
            </w:r>
            <w:proofErr w:type="spellStart"/>
            <w:r w:rsidR="0010386C" w:rsidRPr="00342F45">
              <w:rPr>
                <w:rFonts w:eastAsia="Times New Roman" w:cs="Arial"/>
                <w:bCs/>
                <w:iCs/>
              </w:rPr>
              <w:t>organisations</w:t>
            </w:r>
            <w:proofErr w:type="spellEnd"/>
            <w:r w:rsidRPr="00342F45">
              <w:rPr>
                <w:rFonts w:eastAsia="Times New Roman" w:cs="Arial"/>
                <w:bCs/>
                <w:iCs/>
              </w:rPr>
              <w:t>;</w:t>
            </w:r>
          </w:p>
          <w:p w14:paraId="66B8FEF4" w14:textId="5B28C489" w:rsidR="00830FC3" w:rsidRPr="00342F45" w:rsidRDefault="00830FC3" w:rsidP="000D7AA8">
            <w:pPr>
              <w:pStyle w:val="ListParagraph"/>
              <w:numPr>
                <w:ilvl w:val="1"/>
                <w:numId w:val="27"/>
              </w:numPr>
              <w:tabs>
                <w:tab w:val="left" w:pos="987"/>
              </w:tabs>
              <w:autoSpaceDE w:val="0"/>
              <w:autoSpaceDN w:val="0"/>
              <w:adjustRightInd w:val="0"/>
              <w:rPr>
                <w:rFonts w:cs="Verdana"/>
              </w:rPr>
            </w:pPr>
            <w:r w:rsidRPr="00342F45">
              <w:rPr>
                <w:rFonts w:eastAsia="Times New Roman" w:cs="Arial"/>
                <w:bCs/>
                <w:iCs/>
              </w:rPr>
              <w:t>Membership or affiliations</w:t>
            </w:r>
            <w:r w:rsidR="0010386C" w:rsidRPr="00342F45">
              <w:rPr>
                <w:rFonts w:eastAsia="Times New Roman" w:cs="Arial"/>
                <w:bCs/>
                <w:iCs/>
              </w:rPr>
              <w:t xml:space="preserve"> creating a potential conflict of interests</w:t>
            </w:r>
            <w:r w:rsidRPr="00342F45">
              <w:rPr>
                <w:rFonts w:eastAsia="Times New Roman" w:cs="Arial"/>
                <w:bCs/>
                <w:iCs/>
              </w:rPr>
              <w:t>;</w:t>
            </w:r>
          </w:p>
          <w:p w14:paraId="0B47EC02" w14:textId="088F279C" w:rsidR="00830FC3" w:rsidRPr="00342F45" w:rsidRDefault="00830FC3" w:rsidP="000D7AA8">
            <w:pPr>
              <w:pStyle w:val="ListParagraph"/>
              <w:numPr>
                <w:ilvl w:val="1"/>
                <w:numId w:val="27"/>
              </w:numPr>
              <w:tabs>
                <w:tab w:val="left" w:pos="987"/>
              </w:tabs>
              <w:autoSpaceDE w:val="0"/>
              <w:autoSpaceDN w:val="0"/>
              <w:adjustRightInd w:val="0"/>
              <w:jc w:val="both"/>
              <w:rPr>
                <w:rFonts w:cs="Verdana"/>
              </w:rPr>
            </w:pPr>
            <w:r w:rsidRPr="00342F45">
              <w:rPr>
                <w:rFonts w:eastAsia="Times New Roman" w:cs="Arial"/>
                <w:bCs/>
                <w:iCs/>
              </w:rPr>
              <w:t>Research funding</w:t>
            </w:r>
            <w:r w:rsidR="0010386C" w:rsidRPr="00342F45">
              <w:rPr>
                <w:rFonts w:eastAsia="Times New Roman" w:cs="Arial"/>
                <w:bCs/>
                <w:iCs/>
              </w:rPr>
              <w:t xml:space="preserve"> in the forms of grants, rents, sponsorships, fellowships, non-monetary support received from entities or </w:t>
            </w:r>
            <w:proofErr w:type="spellStart"/>
            <w:r w:rsidR="0010386C" w:rsidRPr="00342F45">
              <w:rPr>
                <w:rFonts w:eastAsia="Times New Roman" w:cs="Arial"/>
                <w:bCs/>
                <w:iCs/>
              </w:rPr>
              <w:t>organisations</w:t>
            </w:r>
            <w:proofErr w:type="spellEnd"/>
            <w:r w:rsidR="0010386C" w:rsidRPr="00342F45">
              <w:rPr>
                <w:rFonts w:eastAsia="Times New Roman" w:cs="Arial"/>
                <w:bCs/>
                <w:iCs/>
              </w:rPr>
              <w:t xml:space="preserve"> active in a field of activity of the Agency</w:t>
            </w:r>
            <w:r w:rsidRPr="00342F45">
              <w:rPr>
                <w:rFonts w:eastAsia="Times New Roman" w:cs="Arial"/>
                <w:bCs/>
                <w:iCs/>
              </w:rPr>
              <w:t>;</w:t>
            </w:r>
          </w:p>
          <w:p w14:paraId="55EB88BB" w14:textId="00729EB2" w:rsidR="0010386C" w:rsidRPr="00342F45" w:rsidRDefault="00830FC3" w:rsidP="000D7AA8">
            <w:pPr>
              <w:pStyle w:val="ListParagraph"/>
              <w:numPr>
                <w:ilvl w:val="1"/>
                <w:numId w:val="27"/>
              </w:numPr>
              <w:tabs>
                <w:tab w:val="left" w:pos="987"/>
              </w:tabs>
              <w:autoSpaceDE w:val="0"/>
              <w:autoSpaceDN w:val="0"/>
              <w:adjustRightInd w:val="0"/>
              <w:jc w:val="both"/>
              <w:rPr>
                <w:rFonts w:cs="Verdana"/>
              </w:rPr>
            </w:pPr>
            <w:r w:rsidRPr="00342F45">
              <w:rPr>
                <w:rFonts w:eastAsia="Times New Roman" w:cs="Arial"/>
                <w:bCs/>
                <w:iCs/>
              </w:rPr>
              <w:t>Investments</w:t>
            </w:r>
            <w:r w:rsidR="0010386C" w:rsidRPr="00342F45">
              <w:rPr>
                <w:rFonts w:eastAsia="Times New Roman" w:cs="Arial"/>
                <w:bCs/>
                <w:iCs/>
              </w:rPr>
              <w:t xml:space="preserve"> in a commercial entity with an interests in the field of activity of the Agency, including holding of stocks and shares, stock options, equity, bon</w:t>
            </w:r>
            <w:r w:rsidR="00543B34" w:rsidRPr="00342F45">
              <w:rPr>
                <w:rFonts w:eastAsia="Times New Roman" w:cs="Arial"/>
                <w:bCs/>
                <w:iCs/>
              </w:rPr>
              <w:t>d</w:t>
            </w:r>
            <w:r w:rsidR="0010386C" w:rsidRPr="00342F45">
              <w:rPr>
                <w:rFonts w:eastAsia="Times New Roman" w:cs="Arial"/>
                <w:bCs/>
                <w:iCs/>
              </w:rPr>
              <w:t xml:space="preserve">s, partnership interest in the capital of such undertaking, one of its subsidiaries or a company in the capital of which it has a holding and which amounts to more than 10,000 EUR per commercial entity or </w:t>
            </w:r>
            <w:r w:rsidR="009B517F" w:rsidRPr="00342F45">
              <w:rPr>
                <w:rFonts w:eastAsia="Times New Roman" w:cs="Arial"/>
                <w:bCs/>
                <w:iCs/>
              </w:rPr>
              <w:t>entitling</w:t>
            </w:r>
            <w:r w:rsidR="0010386C" w:rsidRPr="00342F45">
              <w:rPr>
                <w:rFonts w:eastAsia="Times New Roman" w:cs="Arial"/>
                <w:bCs/>
                <w:iCs/>
              </w:rPr>
              <w:t xml:space="preserve"> to a voting right of 5% or more in such commercial entity</w:t>
            </w:r>
            <w:r w:rsidRPr="00342F45">
              <w:rPr>
                <w:rFonts w:eastAsia="Times New Roman" w:cs="Arial"/>
                <w:bCs/>
                <w:iCs/>
              </w:rPr>
              <w:t xml:space="preserve">. </w:t>
            </w:r>
          </w:p>
          <w:p w14:paraId="52587BCE" w14:textId="0E54D9C2" w:rsidR="00F62B33" w:rsidRPr="00342F45" w:rsidRDefault="00F62B33" w:rsidP="000D7AA8">
            <w:pPr>
              <w:pStyle w:val="ListParagraph"/>
              <w:numPr>
                <w:ilvl w:val="0"/>
                <w:numId w:val="7"/>
              </w:numPr>
              <w:autoSpaceDE w:val="0"/>
              <w:autoSpaceDN w:val="0"/>
              <w:adjustRightInd w:val="0"/>
              <w:jc w:val="both"/>
              <w:rPr>
                <w:rFonts w:cs="Verdana"/>
              </w:rPr>
            </w:pPr>
            <w:r w:rsidRPr="00342F45">
              <w:rPr>
                <w:rFonts w:cs="Verdana"/>
              </w:rPr>
              <w:t xml:space="preserve">Any other interest that the data subject considers prejudicial to his/her independence in the performance of his/her duties as a member of the </w:t>
            </w:r>
            <w:r w:rsidR="00AF5DD8" w:rsidRPr="00342F45">
              <w:rPr>
                <w:rFonts w:cs="Verdana"/>
              </w:rPr>
              <w:t>SM</w:t>
            </w:r>
            <w:r w:rsidRPr="00342F45">
              <w:rPr>
                <w:rFonts w:cs="Verdana"/>
              </w:rPr>
              <w:t>.</w:t>
            </w:r>
          </w:p>
          <w:p w14:paraId="280E2209" w14:textId="77777777" w:rsidR="002A77AC" w:rsidRPr="00342F45" w:rsidRDefault="002A77AC" w:rsidP="00566C6E"/>
          <w:p w14:paraId="434E423C" w14:textId="2C4FBEE8" w:rsidR="00AC78AC" w:rsidRPr="00342F45" w:rsidRDefault="00AC78AC" w:rsidP="00566C6E">
            <w:r w:rsidRPr="00342F45">
              <w:t xml:space="preserve">The </w:t>
            </w:r>
            <w:r w:rsidRPr="00342F45">
              <w:rPr>
                <w:u w:val="single"/>
              </w:rPr>
              <w:t>non-confidential version</w:t>
            </w:r>
            <w:r w:rsidRPr="00342F45">
              <w:t xml:space="preserve"> of the </w:t>
            </w:r>
            <w:proofErr w:type="spellStart"/>
            <w:r w:rsidRPr="00342F45">
              <w:t>DoI</w:t>
            </w:r>
            <w:proofErr w:type="spellEnd"/>
            <w:r w:rsidRPr="00342F45">
              <w:t xml:space="preserve"> maintains the same data a part from the signature of the member of </w:t>
            </w:r>
            <w:r w:rsidRPr="00342F45">
              <w:lastRenderedPageBreak/>
              <w:t>the Senior Management.</w:t>
            </w:r>
          </w:p>
          <w:p w14:paraId="1F63660A" w14:textId="77777777" w:rsidR="00AC78AC" w:rsidRPr="00342F45" w:rsidRDefault="00AC78AC" w:rsidP="00566C6E"/>
          <w:p w14:paraId="4AD03EEA" w14:textId="2BA38D83" w:rsidR="002F1FFF" w:rsidRPr="00342F45" w:rsidRDefault="002F1FFF" w:rsidP="002F1FFF">
            <w:pPr>
              <w:rPr>
                <w:rFonts w:eastAsia="Times New Roman" w:cs="Arial"/>
                <w:bCs/>
                <w:iCs/>
              </w:rPr>
            </w:pPr>
            <w:r w:rsidRPr="00342F45">
              <w:rPr>
                <w:rFonts w:eastAsia="Times New Roman" w:cs="Arial"/>
                <w:bCs/>
                <w:i/>
                <w:iCs/>
              </w:rPr>
              <w:t>Curriculum Vitae</w:t>
            </w:r>
          </w:p>
          <w:p w14:paraId="320A659C" w14:textId="77777777" w:rsidR="002F1FFF" w:rsidRPr="00342F45" w:rsidRDefault="002F1FFF" w:rsidP="002F1FFF">
            <w:pPr>
              <w:rPr>
                <w:rFonts w:eastAsia="Times New Roman" w:cs="Arial"/>
                <w:bCs/>
                <w:iCs/>
              </w:rPr>
            </w:pPr>
          </w:p>
          <w:p w14:paraId="53E8D9E7" w14:textId="5FEF13BD" w:rsidR="002F1FFF" w:rsidRPr="00342F45" w:rsidRDefault="002F1FFF" w:rsidP="002F1FFF">
            <w:pPr>
              <w:rPr>
                <w:rFonts w:eastAsia="Times New Roman" w:cs="Arial"/>
                <w:bCs/>
                <w:iCs/>
              </w:rPr>
            </w:pPr>
            <w:r w:rsidRPr="00342F45">
              <w:rPr>
                <w:rFonts w:eastAsia="Times New Roman" w:cs="Arial"/>
                <w:bCs/>
                <w:iCs/>
              </w:rPr>
              <w:t>The CV forms provided to the SM requires to submit the following data:</w:t>
            </w:r>
          </w:p>
          <w:p w14:paraId="0AC16E9D" w14:textId="77777777" w:rsidR="002F1FFF" w:rsidRPr="00342F45" w:rsidRDefault="002F1FFF" w:rsidP="002F1FFF">
            <w:pPr>
              <w:rPr>
                <w:rFonts w:ascii="Arial" w:eastAsia="Times New Roman" w:hAnsi="Arial" w:cs="Arial"/>
                <w:bCs/>
                <w:i/>
                <w:iCs/>
                <w:sz w:val="20"/>
                <w:szCs w:val="20"/>
              </w:rPr>
            </w:pPr>
          </w:p>
          <w:p w14:paraId="29570AA3" w14:textId="19AE420E" w:rsidR="002F1FFF" w:rsidRPr="00342F45" w:rsidRDefault="002F1FFF" w:rsidP="002E3C38">
            <w:pPr>
              <w:pStyle w:val="ListParagraph"/>
              <w:numPr>
                <w:ilvl w:val="0"/>
                <w:numId w:val="29"/>
              </w:numPr>
              <w:ind w:left="743" w:hanging="425"/>
            </w:pPr>
            <w:r w:rsidRPr="00342F45">
              <w:rPr>
                <w:rFonts w:cs="Verdana"/>
              </w:rPr>
              <w:t>Full Name (Names, Family Names);</w:t>
            </w:r>
            <w:r w:rsidRPr="00342F45">
              <w:t>;</w:t>
            </w:r>
          </w:p>
          <w:p w14:paraId="4D28C656" w14:textId="304DB460" w:rsidR="002F1FFF" w:rsidRPr="00342F45" w:rsidRDefault="002F1FFF" w:rsidP="002E3C38">
            <w:pPr>
              <w:pStyle w:val="ListParagraph"/>
              <w:numPr>
                <w:ilvl w:val="0"/>
                <w:numId w:val="29"/>
              </w:numPr>
              <w:ind w:left="743" w:hanging="425"/>
              <w:rPr>
                <w:bCs/>
                <w:iCs/>
              </w:rPr>
            </w:pPr>
            <w:r w:rsidRPr="00342F45">
              <w:rPr>
                <w:bCs/>
                <w:iCs/>
              </w:rPr>
              <w:t>Function in the Agency;</w:t>
            </w:r>
          </w:p>
          <w:p w14:paraId="0B3FC6F7" w14:textId="77777777" w:rsidR="002F1FFF" w:rsidRPr="00342F45" w:rsidRDefault="002F1FFF" w:rsidP="002E3C38">
            <w:pPr>
              <w:pStyle w:val="ListParagraph"/>
              <w:numPr>
                <w:ilvl w:val="0"/>
                <w:numId w:val="29"/>
              </w:numPr>
              <w:ind w:left="743" w:hanging="425"/>
              <w:rPr>
                <w:bCs/>
                <w:iCs/>
              </w:rPr>
            </w:pPr>
            <w:r w:rsidRPr="00342F45">
              <w:rPr>
                <w:bCs/>
                <w:iCs/>
              </w:rPr>
              <w:t>Professional experience;</w:t>
            </w:r>
          </w:p>
          <w:p w14:paraId="28C0AA9A" w14:textId="77777777" w:rsidR="002F1FFF" w:rsidRPr="00342F45" w:rsidRDefault="002F1FFF" w:rsidP="002E3C38">
            <w:pPr>
              <w:pStyle w:val="ListParagraph"/>
              <w:numPr>
                <w:ilvl w:val="0"/>
                <w:numId w:val="29"/>
              </w:numPr>
              <w:ind w:left="743" w:hanging="425"/>
            </w:pPr>
            <w:r w:rsidRPr="00342F45">
              <w:rPr>
                <w:bCs/>
                <w:iCs/>
              </w:rPr>
              <w:t>Education;</w:t>
            </w:r>
          </w:p>
          <w:p w14:paraId="025DAA9E" w14:textId="77777777" w:rsidR="002F1FFF" w:rsidRPr="00342F45" w:rsidRDefault="002F1FFF" w:rsidP="002E3C38">
            <w:pPr>
              <w:pStyle w:val="ListParagraph"/>
              <w:numPr>
                <w:ilvl w:val="0"/>
                <w:numId w:val="29"/>
              </w:numPr>
              <w:ind w:left="743" w:hanging="425"/>
            </w:pPr>
            <w:r w:rsidRPr="00342F45">
              <w:rPr>
                <w:bCs/>
                <w:iCs/>
              </w:rPr>
              <w:t xml:space="preserve">Training/seminars; </w:t>
            </w:r>
            <w:r w:rsidRPr="00342F45">
              <w:t>and</w:t>
            </w:r>
          </w:p>
          <w:p w14:paraId="413C8BE9" w14:textId="0AC7D8B3" w:rsidR="002F1FFF" w:rsidRPr="00342F45" w:rsidRDefault="002F1FFF" w:rsidP="002E3C38">
            <w:pPr>
              <w:pStyle w:val="ListParagraph"/>
              <w:numPr>
                <w:ilvl w:val="0"/>
                <w:numId w:val="29"/>
              </w:numPr>
              <w:ind w:left="743" w:hanging="425"/>
              <w:rPr>
                <w:bCs/>
                <w:iCs/>
              </w:rPr>
            </w:pPr>
            <w:r w:rsidRPr="00342F45">
              <w:rPr>
                <w:bCs/>
                <w:iCs/>
              </w:rPr>
              <w:t xml:space="preserve">-Publications. </w:t>
            </w:r>
          </w:p>
          <w:p w14:paraId="006CA6BC" w14:textId="77777777" w:rsidR="002F1FFF" w:rsidRPr="00342F45" w:rsidRDefault="002F1FFF" w:rsidP="00566C6E"/>
        </w:tc>
      </w:tr>
      <w:tr w:rsidR="00B75A0F" w14:paraId="000F8909" w14:textId="77777777" w:rsidTr="00B75A0F">
        <w:tc>
          <w:tcPr>
            <w:tcW w:w="9990" w:type="dxa"/>
          </w:tcPr>
          <w:p w14:paraId="717B0545" w14:textId="2753E07F" w:rsidR="002A77AC" w:rsidRDefault="00F86BEF" w:rsidP="00B22689">
            <w:pPr>
              <w:rPr>
                <w:rFonts w:ascii="Arial" w:eastAsia="Times New Roman" w:hAnsi="Arial" w:cs="Arial"/>
                <w:b/>
                <w:bCs/>
                <w:sz w:val="20"/>
                <w:szCs w:val="20"/>
              </w:rPr>
            </w:pPr>
            <w:r w:rsidRPr="007D5A22">
              <w:rPr>
                <w:rFonts w:ascii="Arial" w:eastAsia="Times New Roman" w:hAnsi="Arial" w:cs="Arial"/>
                <w:b/>
                <w:bCs/>
                <w:sz w:val="20"/>
                <w:szCs w:val="20"/>
              </w:rPr>
              <w:lastRenderedPageBreak/>
              <w:t> 7/ Information to be given to data subjects</w:t>
            </w:r>
            <w:r w:rsidR="00B22689">
              <w:rPr>
                <w:rFonts w:ascii="Arial" w:eastAsia="Times New Roman" w:hAnsi="Arial" w:cs="Arial"/>
                <w:b/>
                <w:bCs/>
                <w:sz w:val="20"/>
                <w:szCs w:val="20"/>
              </w:rPr>
              <w:t xml:space="preserve"> </w:t>
            </w:r>
          </w:p>
          <w:p w14:paraId="79EBB1FF" w14:textId="77777777" w:rsidR="00E72543" w:rsidRDefault="00E72543" w:rsidP="00E72543"/>
          <w:p w14:paraId="5988D3D9" w14:textId="77777777" w:rsidR="002F1FFF" w:rsidRDefault="00E338BF" w:rsidP="00E72543">
            <w:pPr>
              <w:jc w:val="both"/>
              <w:rPr>
                <w:rFonts w:eastAsia="Times New Roman" w:cs="Arial"/>
                <w:bCs/>
                <w:color w:val="000000" w:themeColor="text1"/>
              </w:rPr>
            </w:pPr>
            <w:r w:rsidRPr="00E338BF">
              <w:rPr>
                <w:rFonts w:eastAsia="Times New Roman" w:cs="Arial"/>
                <w:bCs/>
                <w:color w:val="000000" w:themeColor="text1"/>
              </w:rPr>
              <w:t>Data subjects will be informed that their data</w:t>
            </w:r>
            <w:r w:rsidR="002F1FFF">
              <w:rPr>
                <w:rFonts w:eastAsia="Times New Roman" w:cs="Arial"/>
                <w:bCs/>
                <w:color w:val="000000" w:themeColor="text1"/>
              </w:rPr>
              <w:t>, as</w:t>
            </w:r>
            <w:r w:rsidRPr="00E338BF">
              <w:rPr>
                <w:rFonts w:eastAsia="Times New Roman" w:cs="Arial"/>
                <w:bCs/>
                <w:color w:val="000000" w:themeColor="text1"/>
              </w:rPr>
              <w:t xml:space="preserve"> </w:t>
            </w:r>
            <w:r w:rsidR="002F1FFF">
              <w:rPr>
                <w:rFonts w:eastAsia="Times New Roman" w:cs="Arial"/>
                <w:bCs/>
                <w:color w:val="000000" w:themeColor="text1"/>
              </w:rPr>
              <w:t>submitted</w:t>
            </w:r>
            <w:r>
              <w:rPr>
                <w:rFonts w:eastAsia="Times New Roman" w:cs="Arial"/>
                <w:bCs/>
                <w:color w:val="000000" w:themeColor="text1"/>
              </w:rPr>
              <w:t xml:space="preserve"> in a </w:t>
            </w:r>
            <w:proofErr w:type="spellStart"/>
            <w:r w:rsidR="002F1FFF">
              <w:rPr>
                <w:rFonts w:eastAsia="Times New Roman" w:cs="Arial"/>
                <w:bCs/>
                <w:color w:val="000000" w:themeColor="text1"/>
              </w:rPr>
              <w:t>DoI</w:t>
            </w:r>
            <w:proofErr w:type="spellEnd"/>
            <w:r w:rsidR="00212F57">
              <w:rPr>
                <w:rFonts w:eastAsia="Times New Roman" w:cs="Arial"/>
                <w:bCs/>
                <w:color w:val="000000" w:themeColor="text1"/>
              </w:rPr>
              <w:t xml:space="preserve"> </w:t>
            </w:r>
            <w:r w:rsidR="002F1FFF">
              <w:rPr>
                <w:rFonts w:eastAsia="Times New Roman" w:cs="Arial"/>
                <w:bCs/>
                <w:color w:val="000000" w:themeColor="text1"/>
              </w:rPr>
              <w:t xml:space="preserve">and CV </w:t>
            </w:r>
            <w:r w:rsidR="00212F57">
              <w:rPr>
                <w:rFonts w:eastAsia="Times New Roman" w:cs="Arial"/>
                <w:bCs/>
                <w:color w:val="000000" w:themeColor="text1"/>
              </w:rPr>
              <w:t>form</w:t>
            </w:r>
            <w:r w:rsidR="002F1FFF">
              <w:rPr>
                <w:rFonts w:eastAsia="Times New Roman" w:cs="Arial"/>
                <w:bCs/>
                <w:color w:val="000000" w:themeColor="text1"/>
              </w:rPr>
              <w:t>s</w:t>
            </w:r>
            <w:r>
              <w:rPr>
                <w:rFonts w:eastAsia="Times New Roman" w:cs="Arial"/>
                <w:bCs/>
                <w:color w:val="000000" w:themeColor="text1"/>
              </w:rPr>
              <w:t xml:space="preserve"> (</w:t>
            </w:r>
            <w:r w:rsidR="002F1FFF">
              <w:rPr>
                <w:rFonts w:eastAsia="Times New Roman" w:cs="Arial"/>
                <w:bCs/>
                <w:color w:val="000000" w:themeColor="text1"/>
              </w:rPr>
              <w:t xml:space="preserve">a model of which is </w:t>
            </w:r>
            <w:r>
              <w:t>attached to this Notification Form, as Annex 1</w:t>
            </w:r>
            <w:r w:rsidR="002F1FFF">
              <w:t xml:space="preserve"> and 2 respectively</w:t>
            </w:r>
            <w:r w:rsidR="00A84AA3">
              <w:t>)</w:t>
            </w:r>
            <w:r w:rsidR="002F1FFF">
              <w:t>,</w:t>
            </w:r>
            <w:r>
              <w:rPr>
                <w:rFonts w:eastAsia="Times New Roman" w:cs="Arial"/>
                <w:bCs/>
                <w:color w:val="000000" w:themeColor="text1"/>
              </w:rPr>
              <w:t xml:space="preserve"> </w:t>
            </w:r>
            <w:r w:rsidRPr="00E338BF">
              <w:rPr>
                <w:rFonts w:eastAsia="Times New Roman" w:cs="Arial"/>
                <w:bCs/>
                <w:color w:val="000000" w:themeColor="text1"/>
              </w:rPr>
              <w:t>will be</w:t>
            </w:r>
            <w:r w:rsidR="002F1FFF">
              <w:rPr>
                <w:rFonts w:eastAsia="Times New Roman" w:cs="Arial"/>
                <w:bCs/>
                <w:color w:val="000000" w:themeColor="text1"/>
              </w:rPr>
              <w:t>:</w:t>
            </w:r>
          </w:p>
          <w:p w14:paraId="3DF6194D" w14:textId="77777777" w:rsidR="00FC3A46" w:rsidRDefault="00FC3A46" w:rsidP="00E72543">
            <w:pPr>
              <w:jc w:val="both"/>
              <w:rPr>
                <w:rFonts w:eastAsia="Times New Roman" w:cs="Arial"/>
                <w:bCs/>
                <w:color w:val="000000" w:themeColor="text1"/>
              </w:rPr>
            </w:pPr>
          </w:p>
          <w:p w14:paraId="5754E300" w14:textId="1BD882FB" w:rsidR="002F1FFF" w:rsidRPr="002F1FFF" w:rsidRDefault="002F1FFF" w:rsidP="002F1FFF">
            <w:pPr>
              <w:pStyle w:val="ListParagraph"/>
              <w:numPr>
                <w:ilvl w:val="0"/>
                <w:numId w:val="30"/>
              </w:numPr>
              <w:jc w:val="both"/>
              <w:rPr>
                <w:rFonts w:eastAsia="Times New Roman" w:cs="Arial"/>
                <w:bCs/>
                <w:color w:val="000000" w:themeColor="text1"/>
              </w:rPr>
            </w:pPr>
            <w:r w:rsidRPr="002F1FFF">
              <w:rPr>
                <w:rFonts w:eastAsia="Times New Roman" w:cs="Arial"/>
                <w:bCs/>
                <w:color w:val="000000" w:themeColor="text1"/>
              </w:rPr>
              <w:t>collected and included in the Registry</w:t>
            </w:r>
            <w:r>
              <w:rPr>
                <w:rFonts w:eastAsia="Times New Roman" w:cs="Arial"/>
                <w:bCs/>
                <w:color w:val="000000" w:themeColor="text1"/>
              </w:rPr>
              <w:t xml:space="preserve"> for five years after the end of the employment relationship with the Agency</w:t>
            </w:r>
            <w:r w:rsidRPr="002F1FFF">
              <w:rPr>
                <w:rFonts w:eastAsia="Times New Roman" w:cs="Arial"/>
                <w:bCs/>
                <w:color w:val="000000" w:themeColor="text1"/>
              </w:rPr>
              <w:t>; and</w:t>
            </w:r>
          </w:p>
          <w:p w14:paraId="3EBD5ECC" w14:textId="77777777" w:rsidR="002F1FFF" w:rsidRDefault="002F1FFF" w:rsidP="002F1FFF">
            <w:pPr>
              <w:pStyle w:val="ListParagraph"/>
              <w:numPr>
                <w:ilvl w:val="0"/>
                <w:numId w:val="30"/>
              </w:numPr>
              <w:jc w:val="both"/>
              <w:rPr>
                <w:rFonts w:eastAsia="Times New Roman" w:cs="Arial"/>
                <w:bCs/>
                <w:color w:val="000000" w:themeColor="text1"/>
              </w:rPr>
            </w:pPr>
            <w:r>
              <w:rPr>
                <w:rFonts w:eastAsia="Times New Roman" w:cs="Arial"/>
                <w:bCs/>
                <w:color w:val="000000" w:themeColor="text1"/>
              </w:rPr>
              <w:t>processed so as to consider their content;</w:t>
            </w:r>
          </w:p>
          <w:p w14:paraId="61847DC6" w14:textId="71738A72" w:rsidR="002F1FFF" w:rsidRDefault="002F1FFF" w:rsidP="002F1FFF">
            <w:pPr>
              <w:pStyle w:val="ListParagraph"/>
              <w:numPr>
                <w:ilvl w:val="0"/>
                <w:numId w:val="30"/>
              </w:numPr>
              <w:jc w:val="both"/>
              <w:rPr>
                <w:rFonts w:eastAsia="Times New Roman" w:cs="Arial"/>
                <w:bCs/>
                <w:color w:val="000000" w:themeColor="text1"/>
              </w:rPr>
            </w:pPr>
            <w:r>
              <w:rPr>
                <w:rFonts w:eastAsia="Times New Roman" w:cs="Arial"/>
                <w:bCs/>
                <w:color w:val="000000" w:themeColor="text1"/>
              </w:rPr>
              <w:t>reviewed prior to release to the public (</w:t>
            </w:r>
            <w:r w:rsidRPr="002F1FFF">
              <w:rPr>
                <w:rFonts w:eastAsia="Times New Roman" w:cs="Arial"/>
                <w:bCs/>
                <w:color w:val="000000" w:themeColor="text1"/>
              </w:rPr>
              <w:t>via a dedicated page on the website of the Agency</w:t>
            </w:r>
            <w:r>
              <w:rPr>
                <w:rFonts w:eastAsia="Times New Roman" w:cs="Arial"/>
                <w:bCs/>
                <w:color w:val="000000" w:themeColor="text1"/>
              </w:rPr>
              <w:t>) so as to ensure that unsolicited data are not included and that</w:t>
            </w:r>
            <w:r w:rsidR="00137948">
              <w:rPr>
                <w:rFonts w:eastAsia="Times New Roman" w:cs="Arial"/>
                <w:bCs/>
                <w:color w:val="000000" w:themeColor="text1"/>
              </w:rPr>
              <w:t xml:space="preserve"> the non-confidential version of the </w:t>
            </w:r>
            <w:proofErr w:type="spellStart"/>
            <w:r w:rsidR="00137948">
              <w:rPr>
                <w:rFonts w:eastAsia="Times New Roman" w:cs="Arial"/>
                <w:bCs/>
                <w:color w:val="000000" w:themeColor="text1"/>
              </w:rPr>
              <w:t>DoI</w:t>
            </w:r>
            <w:proofErr w:type="spellEnd"/>
            <w:r w:rsidR="00137948">
              <w:rPr>
                <w:rFonts w:eastAsia="Times New Roman" w:cs="Arial"/>
                <w:bCs/>
                <w:color w:val="000000" w:themeColor="text1"/>
              </w:rPr>
              <w:t xml:space="preserve"> does not contain</w:t>
            </w:r>
            <w:r>
              <w:rPr>
                <w:rFonts w:eastAsia="Times New Roman" w:cs="Arial"/>
                <w:bCs/>
                <w:color w:val="000000" w:themeColor="text1"/>
              </w:rPr>
              <w:t xml:space="preserve"> the signature of the SM for security purposes;</w:t>
            </w:r>
          </w:p>
          <w:p w14:paraId="09E167B2" w14:textId="57DD0AC8" w:rsidR="002F1FFF" w:rsidRPr="002F1FFF" w:rsidRDefault="002F1FFF" w:rsidP="002F1FFF">
            <w:pPr>
              <w:pStyle w:val="ListParagraph"/>
              <w:numPr>
                <w:ilvl w:val="0"/>
                <w:numId w:val="30"/>
              </w:numPr>
              <w:jc w:val="both"/>
              <w:rPr>
                <w:rFonts w:eastAsia="Times New Roman" w:cs="Arial"/>
                <w:bCs/>
                <w:color w:val="000000" w:themeColor="text1"/>
              </w:rPr>
            </w:pPr>
            <w:proofErr w:type="gramStart"/>
            <w:r>
              <w:rPr>
                <w:rFonts w:eastAsia="Times New Roman" w:cs="Arial"/>
                <w:bCs/>
                <w:color w:val="000000" w:themeColor="text1"/>
              </w:rPr>
              <w:t>yearly</w:t>
            </w:r>
            <w:proofErr w:type="gramEnd"/>
            <w:r>
              <w:rPr>
                <w:rFonts w:eastAsia="Times New Roman" w:cs="Arial"/>
                <w:bCs/>
                <w:color w:val="000000" w:themeColor="text1"/>
              </w:rPr>
              <w:t xml:space="preserve"> update.</w:t>
            </w:r>
          </w:p>
          <w:p w14:paraId="2EF3B45E" w14:textId="77777777" w:rsidR="00E338BF" w:rsidRDefault="00E338BF" w:rsidP="00E72543">
            <w:pPr>
              <w:jc w:val="both"/>
            </w:pPr>
          </w:p>
          <w:p w14:paraId="62188B55" w14:textId="6193C127" w:rsidR="00E72543" w:rsidRDefault="00A958F6" w:rsidP="00E72543">
            <w:pPr>
              <w:jc w:val="both"/>
            </w:pPr>
            <w:r>
              <w:t>In particular, t</w:t>
            </w:r>
            <w:r w:rsidR="00E72543">
              <w:t xml:space="preserve">he controller provides the data subject with a </w:t>
            </w:r>
            <w:r w:rsidR="00E72543" w:rsidRPr="00277FB4">
              <w:rPr>
                <w:i/>
              </w:rPr>
              <w:t>privacy statement</w:t>
            </w:r>
            <w:r w:rsidR="00E338BF">
              <w:t xml:space="preserve"> (attached to th</w:t>
            </w:r>
            <w:r>
              <w:t>is Notification Form, as Annex 3)</w:t>
            </w:r>
            <w:r w:rsidR="00E72543">
              <w:t xml:space="preserve"> containing the following information: </w:t>
            </w:r>
          </w:p>
          <w:p w14:paraId="62A613EB" w14:textId="77777777" w:rsidR="00E72543" w:rsidRDefault="00E72543" w:rsidP="00E72543">
            <w:pPr>
              <w:jc w:val="both"/>
            </w:pPr>
          </w:p>
          <w:p w14:paraId="1857089F" w14:textId="4B0C0CB1" w:rsidR="00E72543" w:rsidRDefault="00E72543" w:rsidP="00E338BF">
            <w:pPr>
              <w:pStyle w:val="ListParagraph"/>
              <w:numPr>
                <w:ilvl w:val="0"/>
                <w:numId w:val="9"/>
              </w:numPr>
              <w:jc w:val="both"/>
            </w:pPr>
            <w:r>
              <w:t>the identity of the controller</w:t>
            </w:r>
            <w:r w:rsidR="00E338BF">
              <w:t xml:space="preserve"> in practice</w:t>
            </w:r>
            <w:r>
              <w:t>;</w:t>
            </w:r>
          </w:p>
          <w:p w14:paraId="1A808F2B" w14:textId="686385CD" w:rsidR="00E338BF" w:rsidRDefault="00E338BF" w:rsidP="00E338BF">
            <w:pPr>
              <w:pStyle w:val="ListParagraph"/>
              <w:numPr>
                <w:ilvl w:val="0"/>
                <w:numId w:val="9"/>
              </w:numPr>
              <w:jc w:val="both"/>
            </w:pPr>
            <w:r>
              <w:t>the purposes of the processing operation for which the data are intended;</w:t>
            </w:r>
          </w:p>
          <w:p w14:paraId="48BD32C3" w14:textId="77958C17" w:rsidR="00E338BF" w:rsidRDefault="00E338BF" w:rsidP="00E338BF">
            <w:pPr>
              <w:pStyle w:val="ListParagraph"/>
              <w:numPr>
                <w:ilvl w:val="0"/>
                <w:numId w:val="9"/>
              </w:numPr>
              <w:jc w:val="both"/>
            </w:pPr>
            <w:r>
              <w:t>l</w:t>
            </w:r>
            <w:r w:rsidRPr="00E338BF">
              <w:t xml:space="preserve">awfulness of the processing operation; </w:t>
            </w:r>
          </w:p>
          <w:p w14:paraId="1A0E1BBC" w14:textId="53E2C8C5" w:rsidR="00E338BF" w:rsidRPr="00E338BF" w:rsidRDefault="00E338BF" w:rsidP="00E338BF">
            <w:pPr>
              <w:pStyle w:val="ListParagraph"/>
              <w:numPr>
                <w:ilvl w:val="0"/>
                <w:numId w:val="9"/>
              </w:numPr>
              <w:jc w:val="both"/>
            </w:pPr>
            <w:r>
              <w:t>the legal basis of the processing operation for which the data are intended;</w:t>
            </w:r>
          </w:p>
          <w:p w14:paraId="50C84E6D" w14:textId="4F8C5DEB" w:rsidR="00E338BF" w:rsidRDefault="003A712B" w:rsidP="00E338BF">
            <w:pPr>
              <w:pStyle w:val="ListParagraph"/>
              <w:numPr>
                <w:ilvl w:val="0"/>
                <w:numId w:val="9"/>
              </w:numPr>
              <w:jc w:val="both"/>
            </w:pPr>
            <w:r>
              <w:t xml:space="preserve"> c</w:t>
            </w:r>
            <w:r w:rsidRPr="00E338BF">
              <w:t xml:space="preserve">ategories </w:t>
            </w:r>
            <w:r w:rsidR="00E338BF" w:rsidRPr="00E338BF">
              <w:t xml:space="preserve">of data collected and processed; </w:t>
            </w:r>
          </w:p>
          <w:p w14:paraId="1DB29BF6" w14:textId="2CCA0CB2" w:rsidR="00E338BF" w:rsidRPr="00C303A3" w:rsidRDefault="00E338BF" w:rsidP="00E338BF">
            <w:pPr>
              <w:pStyle w:val="ListParagraph"/>
              <w:numPr>
                <w:ilvl w:val="0"/>
                <w:numId w:val="9"/>
              </w:numPr>
              <w:jc w:val="both"/>
            </w:pPr>
            <w:r>
              <w:t>r</w:t>
            </w:r>
            <w:r w:rsidRPr="00C303A3">
              <w:t xml:space="preserve">ecipients of the data processed; </w:t>
            </w:r>
          </w:p>
          <w:p w14:paraId="21DE1918" w14:textId="56FBDC3B" w:rsidR="00E338BF" w:rsidRDefault="003A712B" w:rsidP="00E338BF">
            <w:pPr>
              <w:pStyle w:val="ListParagraph"/>
              <w:numPr>
                <w:ilvl w:val="0"/>
                <w:numId w:val="9"/>
              </w:numPr>
              <w:jc w:val="both"/>
            </w:pPr>
            <w:r>
              <w:t>d</w:t>
            </w:r>
            <w:r w:rsidRPr="00E338BF">
              <w:t xml:space="preserve">ata </w:t>
            </w:r>
            <w:r w:rsidR="00E338BF" w:rsidRPr="00E338BF">
              <w:t xml:space="preserve">storage and data retention policy; </w:t>
            </w:r>
          </w:p>
          <w:p w14:paraId="380EFFB4" w14:textId="173CB7CD" w:rsidR="00E338BF" w:rsidRDefault="003A712B" w:rsidP="00E338BF">
            <w:pPr>
              <w:pStyle w:val="ListParagraph"/>
              <w:numPr>
                <w:ilvl w:val="0"/>
                <w:numId w:val="9"/>
              </w:numPr>
              <w:jc w:val="both"/>
            </w:pPr>
            <w:r>
              <w:t>d</w:t>
            </w:r>
            <w:r w:rsidRPr="00E338BF">
              <w:t xml:space="preserve">ata </w:t>
            </w:r>
            <w:r w:rsidR="00E338BF" w:rsidRPr="00E338BF">
              <w:t>subject rights (including the existence of the right of access to, and the right to rectify, the data concerning him or her;</w:t>
            </w:r>
          </w:p>
          <w:p w14:paraId="75FBE14F" w14:textId="0F63EA53" w:rsidR="00E338BF" w:rsidRPr="00E338BF" w:rsidRDefault="003A712B" w:rsidP="00E338BF">
            <w:pPr>
              <w:pStyle w:val="ListParagraph"/>
              <w:numPr>
                <w:ilvl w:val="0"/>
                <w:numId w:val="9"/>
              </w:numPr>
              <w:jc w:val="both"/>
              <w:rPr>
                <w:rFonts w:eastAsia="Times New Roman" w:cstheme="minorHAnsi"/>
                <w:bCs/>
                <w:sz w:val="20"/>
                <w:szCs w:val="20"/>
              </w:rPr>
            </w:pPr>
            <w:r>
              <w:t>c</w:t>
            </w:r>
            <w:r w:rsidRPr="00E338BF">
              <w:t xml:space="preserve">ontact </w:t>
            </w:r>
            <w:r w:rsidR="00E338BF" w:rsidRPr="00E338BF">
              <w:t>details of data controller.</w:t>
            </w:r>
          </w:p>
          <w:p w14:paraId="433A94AC" w14:textId="362B3220" w:rsidR="00E338BF" w:rsidRDefault="00E338BF" w:rsidP="00E338BF">
            <w:pPr>
              <w:pStyle w:val="ListParagraph"/>
              <w:numPr>
                <w:ilvl w:val="0"/>
                <w:numId w:val="9"/>
              </w:numPr>
              <w:jc w:val="both"/>
            </w:pPr>
            <w:r>
              <w:t>the right to have recourse at any time to the Data Protection Officer and the European Data Protection Supervisor.</w:t>
            </w:r>
          </w:p>
          <w:p w14:paraId="05A0ACBD" w14:textId="77777777" w:rsidR="002A77AC" w:rsidRDefault="002A77AC" w:rsidP="00CD1E59">
            <w:pPr>
              <w:jc w:val="both"/>
            </w:pPr>
          </w:p>
        </w:tc>
      </w:tr>
      <w:tr w:rsidR="00B75A0F" w14:paraId="5E44910E" w14:textId="77777777" w:rsidTr="00B75A0F">
        <w:tc>
          <w:tcPr>
            <w:tcW w:w="9990" w:type="dxa"/>
          </w:tcPr>
          <w:p w14:paraId="6F08BE7C" w14:textId="3823AEB0" w:rsidR="002A77AC" w:rsidRDefault="00F86BEF">
            <w:pPr>
              <w:rPr>
                <w:rFonts w:ascii="Arial" w:eastAsia="Times New Roman" w:hAnsi="Arial" w:cs="Arial"/>
                <w:b/>
                <w:bCs/>
                <w:sz w:val="20"/>
                <w:szCs w:val="20"/>
              </w:rPr>
            </w:pPr>
            <w:r w:rsidRPr="007D5A22">
              <w:rPr>
                <w:rFonts w:ascii="Arial" w:eastAsia="Times New Roman" w:hAnsi="Arial" w:cs="Arial"/>
                <w:b/>
                <w:bCs/>
                <w:sz w:val="20"/>
                <w:szCs w:val="20"/>
              </w:rPr>
              <w:t> 8/ Procedures to grant rights of data subjects</w:t>
            </w:r>
            <w:r w:rsidR="00B22689">
              <w:rPr>
                <w:rFonts w:ascii="Arial" w:eastAsia="Times New Roman" w:hAnsi="Arial" w:cs="Arial"/>
                <w:b/>
                <w:bCs/>
                <w:sz w:val="20"/>
                <w:szCs w:val="20"/>
              </w:rPr>
              <w:t xml:space="preserve"> </w:t>
            </w:r>
          </w:p>
          <w:p w14:paraId="3D809F4C" w14:textId="77777777" w:rsidR="007A5B63" w:rsidRDefault="007A5B63" w:rsidP="00A958F6">
            <w:pPr>
              <w:rPr>
                <w:rFonts w:eastAsia="Times New Roman" w:cs="Arial"/>
                <w:bCs/>
              </w:rPr>
            </w:pPr>
          </w:p>
          <w:p w14:paraId="5F0B18BA" w14:textId="77777777" w:rsidR="00A958F6" w:rsidRDefault="00212F57" w:rsidP="00A958F6">
            <w:pPr>
              <w:spacing w:after="200"/>
              <w:jc w:val="both"/>
            </w:pPr>
            <w:r w:rsidRPr="00212F57">
              <w:t xml:space="preserve">The rights of data subjects are defined by Regulation (EC) No 45/2001. </w:t>
            </w:r>
          </w:p>
          <w:p w14:paraId="1467F244" w14:textId="56D60DF6" w:rsidR="00212F57" w:rsidRDefault="00212F57" w:rsidP="00A958F6">
            <w:pPr>
              <w:spacing w:after="200"/>
              <w:jc w:val="both"/>
            </w:pPr>
            <w:r w:rsidRPr="00212F57">
              <w:t>In particular, data subjects have the right of</w:t>
            </w:r>
            <w:r w:rsidR="00A958F6">
              <w:t xml:space="preserve"> </w:t>
            </w:r>
            <w:proofErr w:type="spellStart"/>
            <w:r w:rsidR="00A958F6">
              <w:t>i</w:t>
            </w:r>
            <w:proofErr w:type="spellEnd"/>
            <w:r w:rsidR="00A958F6">
              <w:t>)</w:t>
            </w:r>
            <w:r w:rsidRPr="00212F57">
              <w:t xml:space="preserve"> access, </w:t>
            </w:r>
            <w:r w:rsidR="00A958F6">
              <w:t xml:space="preserve">ii) </w:t>
            </w:r>
            <w:r w:rsidRPr="00212F57">
              <w:t>rectificati</w:t>
            </w:r>
            <w:r>
              <w:t>on,</w:t>
            </w:r>
            <w:r w:rsidR="00A958F6">
              <w:t xml:space="preserve"> iii)</w:t>
            </w:r>
            <w:r>
              <w:t xml:space="preserve"> blocking of data,</w:t>
            </w:r>
            <w:r w:rsidR="00A958F6">
              <w:t xml:space="preserve"> and</w:t>
            </w:r>
            <w:r>
              <w:t xml:space="preserve"> </w:t>
            </w:r>
            <w:r w:rsidR="00A958F6">
              <w:t>iv) erasure (</w:t>
            </w:r>
            <w:r w:rsidRPr="00212F57">
              <w:t>if such need</w:t>
            </w:r>
            <w:r>
              <w:t>s</w:t>
            </w:r>
            <w:r w:rsidRPr="00212F57">
              <w:t xml:space="preserve"> arise and </w:t>
            </w:r>
            <w:r>
              <w:t>are</w:t>
            </w:r>
            <w:r w:rsidR="003A712B">
              <w:t xml:space="preserve"> duly</w:t>
            </w:r>
            <w:r>
              <w:t xml:space="preserve"> </w:t>
            </w:r>
            <w:r w:rsidRPr="00212F57">
              <w:t>supported</w:t>
            </w:r>
            <w:r w:rsidR="003A712B">
              <w:t xml:space="preserve"> by evidence</w:t>
            </w:r>
            <w:r w:rsidR="00A958F6">
              <w:t>)</w:t>
            </w:r>
            <w:r w:rsidRPr="00212F57">
              <w:t xml:space="preserve">. </w:t>
            </w:r>
          </w:p>
          <w:p w14:paraId="4A0D42A0" w14:textId="6CE2784C" w:rsidR="00212F57" w:rsidRDefault="00212F57" w:rsidP="00A958F6">
            <w:pPr>
              <w:spacing w:after="200"/>
              <w:jc w:val="both"/>
            </w:pPr>
            <w:r w:rsidRPr="00212F57">
              <w:lastRenderedPageBreak/>
              <w:t xml:space="preserve">Any modification of data collected by </w:t>
            </w:r>
            <w:r>
              <w:t>the Agency</w:t>
            </w:r>
            <w:r w:rsidRPr="00212F57">
              <w:t xml:space="preserve"> in </w:t>
            </w:r>
            <w:r w:rsidR="003A712B">
              <w:t xml:space="preserve">the </w:t>
            </w:r>
            <w:proofErr w:type="spellStart"/>
            <w:r w:rsidR="003A712B">
              <w:t>DoI</w:t>
            </w:r>
            <w:proofErr w:type="spellEnd"/>
            <w:r w:rsidR="00A958F6">
              <w:t xml:space="preserve"> and CV</w:t>
            </w:r>
            <w:r>
              <w:t xml:space="preserve"> </w:t>
            </w:r>
            <w:r w:rsidRPr="00212F57">
              <w:t xml:space="preserve">will </w:t>
            </w:r>
            <w:r>
              <w:t xml:space="preserve">be </w:t>
            </w:r>
            <w:r w:rsidRPr="00212F57">
              <w:t>automatically update</w:t>
            </w:r>
            <w:r w:rsidR="002A2F26">
              <w:t>d</w:t>
            </w:r>
            <w:r w:rsidRPr="00212F57">
              <w:t xml:space="preserve"> in the Register</w:t>
            </w:r>
            <w:r>
              <w:t>, together with the evidence provided or the connected request</w:t>
            </w:r>
            <w:r w:rsidRPr="00212F57">
              <w:t xml:space="preserve">. </w:t>
            </w:r>
          </w:p>
          <w:p w14:paraId="2D9277AB" w14:textId="36D7440E" w:rsidR="00255A94" w:rsidRPr="00212F57" w:rsidRDefault="004F0888" w:rsidP="00A958F6">
            <w:pPr>
              <w:spacing w:after="200"/>
              <w:jc w:val="both"/>
            </w:pPr>
            <w:r>
              <w:t xml:space="preserve">The non-confidential version of the </w:t>
            </w:r>
            <w:proofErr w:type="spellStart"/>
            <w:r>
              <w:t>DoI</w:t>
            </w:r>
            <w:proofErr w:type="spellEnd"/>
            <w:r>
              <w:t xml:space="preserve">, to be </w:t>
            </w:r>
            <w:r w:rsidR="00255A94">
              <w:t>published on the website of the Agency</w:t>
            </w:r>
            <w:r w:rsidR="003A712B">
              <w:t>,</w:t>
            </w:r>
            <w:r>
              <w:t xml:space="preserve"> shall not include the signature of the member of the SM, so as </w:t>
            </w:r>
            <w:r w:rsidR="003A712B">
              <w:t xml:space="preserve">to ensure the security of the signature of the </w:t>
            </w:r>
            <w:r w:rsidR="00A958F6">
              <w:t>SM</w:t>
            </w:r>
            <w:r w:rsidR="003A712B">
              <w:t xml:space="preserve"> and reduce the possibility of frauds.</w:t>
            </w:r>
          </w:p>
          <w:p w14:paraId="6BDE4F06" w14:textId="77777777" w:rsidR="00212F57" w:rsidRDefault="00212F57" w:rsidP="00A958F6">
            <w:pPr>
              <w:spacing w:after="200"/>
              <w:jc w:val="both"/>
            </w:pPr>
            <w:r w:rsidRPr="00212F57">
              <w:t xml:space="preserve">Further, in relation to personal data within the Register, data subjects can directly request the Agency (using contact email address: </w:t>
            </w:r>
            <w:hyperlink r:id="rId9" w:history="1">
              <w:r w:rsidRPr="000D7AA8">
                <w:rPr>
                  <w:u w:val="single"/>
                </w:rPr>
                <w:t>dpo@acer.europa.eu</w:t>
              </w:r>
            </w:hyperlink>
            <w:r w:rsidRPr="00212F57">
              <w:t xml:space="preserve">) to: </w:t>
            </w:r>
          </w:p>
          <w:p w14:paraId="42A0F0F9" w14:textId="4E36DFFD" w:rsidR="00212F57" w:rsidRDefault="00212F57" w:rsidP="00A958F6">
            <w:pPr>
              <w:pStyle w:val="ListParagraph"/>
              <w:numPr>
                <w:ilvl w:val="0"/>
                <w:numId w:val="11"/>
              </w:numPr>
              <w:jc w:val="both"/>
            </w:pPr>
            <w:r w:rsidRPr="00212F57">
              <w:t>clarify their rights</w:t>
            </w:r>
            <w:r w:rsidR="00B43A3A">
              <w:t>; and</w:t>
            </w:r>
          </w:p>
          <w:p w14:paraId="4AC8B638" w14:textId="48108EBA" w:rsidR="00212F57" w:rsidRDefault="00212F57" w:rsidP="00A958F6">
            <w:pPr>
              <w:pStyle w:val="ListParagraph"/>
              <w:numPr>
                <w:ilvl w:val="0"/>
                <w:numId w:val="11"/>
              </w:numPr>
              <w:jc w:val="both"/>
            </w:pPr>
            <w:r w:rsidRPr="00212F57">
              <w:t>delete or amend such data, if such need arises and is supported</w:t>
            </w:r>
            <w:r w:rsidR="005C0962">
              <w:t xml:space="preserve"> by evidence</w:t>
            </w:r>
            <w:r w:rsidRPr="00212F57">
              <w:t>.</w:t>
            </w:r>
          </w:p>
          <w:p w14:paraId="64D44546" w14:textId="77777777" w:rsidR="00B43A3A" w:rsidRPr="00212F57" w:rsidRDefault="00B43A3A" w:rsidP="00A958F6">
            <w:pPr>
              <w:pStyle w:val="ListParagraph"/>
              <w:ind w:left="1080"/>
              <w:jc w:val="both"/>
            </w:pPr>
          </w:p>
          <w:p w14:paraId="11034CC0" w14:textId="1B1EE3EF" w:rsidR="00212F57" w:rsidRPr="00212F57" w:rsidRDefault="00212F57" w:rsidP="00A958F6">
            <w:pPr>
              <w:spacing w:after="200"/>
              <w:jc w:val="both"/>
            </w:pPr>
            <w:r w:rsidRPr="00212F57">
              <w:t>Finally, the data subjects may</w:t>
            </w:r>
            <w:r w:rsidR="003A712B">
              <w:t>,</w:t>
            </w:r>
            <w:r w:rsidRPr="00212F57">
              <w:t xml:space="preserve"> at any time</w:t>
            </w:r>
            <w:r w:rsidR="003A712B">
              <w:t>,</w:t>
            </w:r>
            <w:r w:rsidRPr="00212F57">
              <w:t xml:space="preserve"> consult the </w:t>
            </w:r>
            <w:r w:rsidR="003A712B">
              <w:t xml:space="preserve">data controller, </w:t>
            </w:r>
            <w:r w:rsidRPr="00212F57">
              <w:t xml:space="preserve">processing the personal data, or have recourse to the Data Protection Officer of the Agency and to the European Data Protection Supervisor (contact details for DPO and EDPS will be part of the data privacy disclaimer, please see Annex 2 to this </w:t>
            </w:r>
            <w:r w:rsidR="003A712B">
              <w:t>N</w:t>
            </w:r>
            <w:r w:rsidR="003A712B" w:rsidRPr="00212F57">
              <w:t>otification</w:t>
            </w:r>
            <w:r w:rsidRPr="00212F57">
              <w:t xml:space="preserve">). </w:t>
            </w:r>
          </w:p>
          <w:p w14:paraId="7F28E0CA" w14:textId="77777777" w:rsidR="002A77AC" w:rsidRDefault="002A77AC" w:rsidP="00255A94"/>
        </w:tc>
      </w:tr>
      <w:tr w:rsidR="00B75A0F" w14:paraId="2DE4A555" w14:textId="77777777" w:rsidTr="00B75A0F">
        <w:tc>
          <w:tcPr>
            <w:tcW w:w="9990" w:type="dxa"/>
          </w:tcPr>
          <w:p w14:paraId="077DA0AE" w14:textId="58494D5F"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lastRenderedPageBreak/>
              <w:t> 9/ Automated / Manual processing operation</w:t>
            </w:r>
            <w:r w:rsidR="003061B7">
              <w:rPr>
                <w:rFonts w:ascii="Arial" w:eastAsia="Times New Roman" w:hAnsi="Arial" w:cs="Arial"/>
                <w:b/>
                <w:bCs/>
                <w:sz w:val="20"/>
                <w:szCs w:val="20"/>
              </w:rPr>
              <w:t xml:space="preserve"> </w:t>
            </w:r>
          </w:p>
          <w:p w14:paraId="5A335FAD" w14:textId="77777777" w:rsidR="00B43A3A" w:rsidRDefault="00B43A3A" w:rsidP="00B43A3A">
            <w:pPr>
              <w:jc w:val="both"/>
            </w:pPr>
          </w:p>
          <w:p w14:paraId="3029C26B" w14:textId="3B0C7A15" w:rsidR="00B43A3A" w:rsidRDefault="00B43A3A" w:rsidP="00B43A3A">
            <w:pPr>
              <w:jc w:val="both"/>
            </w:pPr>
            <w:r>
              <w:t>Personal data are subject to manual and automated processing operations:</w:t>
            </w:r>
          </w:p>
          <w:p w14:paraId="7DF05E43" w14:textId="77777777" w:rsidR="001D4430" w:rsidRDefault="001D4430" w:rsidP="00B43A3A">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7457"/>
            </w:tblGrid>
            <w:tr w:rsidR="001D4430" w14:paraId="6AF803F0" w14:textId="77777777" w:rsidTr="001D4430">
              <w:tc>
                <w:tcPr>
                  <w:tcW w:w="2302" w:type="dxa"/>
                </w:tcPr>
                <w:p w14:paraId="46EBCB53" w14:textId="6D30014A" w:rsidR="001D4430" w:rsidRDefault="001D4430" w:rsidP="001D4430">
                  <w:pPr>
                    <w:pStyle w:val="ListParagraph"/>
                    <w:numPr>
                      <w:ilvl w:val="0"/>
                      <w:numId w:val="24"/>
                    </w:numPr>
                    <w:tabs>
                      <w:tab w:val="left" w:pos="210"/>
                    </w:tabs>
                    <w:ind w:hanging="1080"/>
                    <w:jc w:val="both"/>
                  </w:pPr>
                  <w:r>
                    <w:t>Manual:</w:t>
                  </w:r>
                </w:p>
              </w:tc>
              <w:tc>
                <w:tcPr>
                  <w:tcW w:w="7457" w:type="dxa"/>
                </w:tcPr>
                <w:p w14:paraId="5EE3F9EE" w14:textId="57CA4285" w:rsidR="001D4430" w:rsidRDefault="001D4430" w:rsidP="00A958F6">
                  <w:pPr>
                    <w:jc w:val="both"/>
                  </w:pPr>
                  <w:r>
                    <w:t xml:space="preserve">in the course of prior detection </w:t>
                  </w:r>
                  <w:r w:rsidR="00A958F6">
                    <w:t>of conflict of interests of the SM</w:t>
                  </w:r>
                </w:p>
              </w:tc>
            </w:tr>
            <w:tr w:rsidR="001D4430" w14:paraId="1294BEE6" w14:textId="77777777" w:rsidTr="001D4430">
              <w:tc>
                <w:tcPr>
                  <w:tcW w:w="2302" w:type="dxa"/>
                </w:tcPr>
                <w:p w14:paraId="47BBFE48" w14:textId="408866A8" w:rsidR="001D4430" w:rsidRDefault="001D4430" w:rsidP="001D4430">
                  <w:pPr>
                    <w:pStyle w:val="ListParagraph"/>
                    <w:numPr>
                      <w:ilvl w:val="0"/>
                      <w:numId w:val="24"/>
                    </w:numPr>
                    <w:tabs>
                      <w:tab w:val="left" w:pos="743"/>
                    </w:tabs>
                    <w:ind w:left="210" w:hanging="210"/>
                    <w:jc w:val="both"/>
                  </w:pPr>
                  <w:r>
                    <w:t>Automated:</w:t>
                  </w:r>
                </w:p>
              </w:tc>
              <w:tc>
                <w:tcPr>
                  <w:tcW w:w="7457" w:type="dxa"/>
                </w:tcPr>
                <w:p w14:paraId="1216DFCF" w14:textId="0A7BD337" w:rsidR="001D4430" w:rsidRDefault="001D4430" w:rsidP="00B43A3A">
                  <w:pPr>
                    <w:jc w:val="both"/>
                  </w:pPr>
                  <w:r w:rsidRPr="001D4430">
                    <w:t>for the registration, updating, access to and erasure of files contained in the Registry.</w:t>
                  </w:r>
                </w:p>
              </w:tc>
            </w:tr>
          </w:tbl>
          <w:p w14:paraId="381C39DD" w14:textId="77777777" w:rsidR="00FC6BD1" w:rsidRDefault="00FC6BD1" w:rsidP="001D4430">
            <w:pPr>
              <w:pStyle w:val="ListParagraph"/>
              <w:tabs>
                <w:tab w:val="left" w:pos="743"/>
              </w:tabs>
              <w:ind w:left="1080"/>
              <w:jc w:val="both"/>
            </w:pPr>
          </w:p>
        </w:tc>
      </w:tr>
      <w:tr w:rsidR="00B75A0F" w14:paraId="67514A93" w14:textId="77777777" w:rsidTr="00B75A0F">
        <w:tc>
          <w:tcPr>
            <w:tcW w:w="9990" w:type="dxa"/>
          </w:tcPr>
          <w:p w14:paraId="37A783BF" w14:textId="67972AD0"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t> 10/ Storage media of data</w:t>
            </w:r>
          </w:p>
          <w:p w14:paraId="3076165F" w14:textId="77777777" w:rsidR="002A77AC" w:rsidRDefault="002A77AC"/>
          <w:p w14:paraId="543492F4" w14:textId="796D6274" w:rsidR="001D4430" w:rsidRDefault="00161F65" w:rsidP="000D7AA8">
            <w:pPr>
              <w:jc w:val="both"/>
            </w:pPr>
            <w:r>
              <w:t xml:space="preserve">Data will be stored </w:t>
            </w:r>
            <w:r w:rsidR="00D864C3">
              <w:t>electronically</w:t>
            </w:r>
            <w:r w:rsidR="000B74B4">
              <w:t xml:space="preserve"> </w:t>
            </w:r>
            <w:r w:rsidR="00B43A3A">
              <w:t xml:space="preserve">within the Register </w:t>
            </w:r>
            <w:r w:rsidR="000B74B4">
              <w:t xml:space="preserve">on a restricted domain accessible only to </w:t>
            </w:r>
            <w:r w:rsidR="00C21E16" w:rsidRPr="00C21E16">
              <w:rPr>
                <w:lang w:val="en-GB"/>
              </w:rPr>
              <w:t>authorised</w:t>
            </w:r>
            <w:r w:rsidR="00D864C3">
              <w:t xml:space="preserve"> </w:t>
            </w:r>
            <w:r w:rsidR="000B74B4">
              <w:t xml:space="preserve">staff members </w:t>
            </w:r>
            <w:r>
              <w:t xml:space="preserve">at: </w:t>
            </w:r>
            <w:hyperlink r:id="rId10" w:history="1">
              <w:r w:rsidR="00041516" w:rsidRPr="00041516">
                <w:rPr>
                  <w:rStyle w:val="Hyperlink"/>
                </w:rPr>
                <w:t>S:\ACER Departments\Director's\Director's staff\ACER Managers</w:t>
              </w:r>
            </w:hyperlink>
          </w:p>
          <w:p w14:paraId="5D09AD6F" w14:textId="77777777" w:rsidR="00B43A3A" w:rsidRDefault="00B43A3A"/>
          <w:p w14:paraId="20B4BAC2" w14:textId="45DB3663" w:rsidR="00D51EDD" w:rsidRDefault="000B74B4" w:rsidP="000D7AA8">
            <w:pPr>
              <w:jc w:val="both"/>
            </w:pPr>
            <w:r>
              <w:t xml:space="preserve">Data will be also stored </w:t>
            </w:r>
            <w:r w:rsidR="00B43A3A">
              <w:t xml:space="preserve">for the relevant calendar year </w:t>
            </w:r>
            <w:r>
              <w:t xml:space="preserve">on the Agency website at the following address: </w:t>
            </w:r>
          </w:p>
          <w:p w14:paraId="75D96A6C" w14:textId="77777777" w:rsidR="00C76550" w:rsidRDefault="00C21E16" w:rsidP="00C76550">
            <w:pPr>
              <w:rPr>
                <w:lang w:val="en-IE"/>
              </w:rPr>
            </w:pPr>
            <w:hyperlink r:id="rId11" w:history="1">
              <w:r w:rsidR="00C76550">
                <w:rPr>
                  <w:rStyle w:val="Hyperlink"/>
                  <w:lang w:val="en-IE"/>
                </w:rPr>
                <w:t>http://www.acer.europa.eu/The_agency/Organisation/Pages/ACER-director.aspx</w:t>
              </w:r>
            </w:hyperlink>
            <w:r w:rsidR="00C76550">
              <w:rPr>
                <w:lang w:val="en-IE"/>
              </w:rPr>
              <w:t xml:space="preserve"> (For the Director</w:t>
            </w:r>
            <w:bookmarkStart w:id="1" w:name="_GoBack"/>
            <w:bookmarkEnd w:id="1"/>
            <w:r w:rsidR="00C76550">
              <w:rPr>
                <w:lang w:val="en-IE"/>
              </w:rPr>
              <w:t>)</w:t>
            </w:r>
          </w:p>
          <w:p w14:paraId="109943C5" w14:textId="0FF0BB34" w:rsidR="00C76550" w:rsidRDefault="00C21E16" w:rsidP="00C76550">
            <w:pPr>
              <w:rPr>
                <w:lang w:val="en-IE"/>
              </w:rPr>
            </w:pPr>
            <w:hyperlink r:id="rId12" w:history="1">
              <w:r w:rsidR="00C76550">
                <w:rPr>
                  <w:rStyle w:val="Hyperlink"/>
                  <w:lang w:val="en-IE"/>
                </w:rPr>
                <w:t>http://www.acer.europa.eu/The_agency/Organisation/Pages/ACER-departments.aspx</w:t>
              </w:r>
            </w:hyperlink>
            <w:r w:rsidR="00C76550">
              <w:rPr>
                <w:lang w:val="en-IE"/>
              </w:rPr>
              <w:t xml:space="preserve"> (For all Management)</w:t>
            </w:r>
          </w:p>
          <w:p w14:paraId="30D49CFC" w14:textId="77777777" w:rsidR="00C76550" w:rsidRDefault="00C76550" w:rsidP="00C76550">
            <w:pPr>
              <w:rPr>
                <w:lang w:val="en-IE"/>
              </w:rPr>
            </w:pPr>
          </w:p>
          <w:p w14:paraId="6A5FE554" w14:textId="3151136F" w:rsidR="00D51EDD" w:rsidRDefault="00D51EDD" w:rsidP="00D51EDD"/>
          <w:p w14:paraId="60C10107" w14:textId="1D4605CF" w:rsidR="000B74B4" w:rsidRDefault="000B74B4" w:rsidP="00D51EDD"/>
        </w:tc>
      </w:tr>
      <w:tr w:rsidR="00B75A0F" w14:paraId="30A3E33B" w14:textId="77777777" w:rsidTr="00B75A0F">
        <w:tc>
          <w:tcPr>
            <w:tcW w:w="9990" w:type="dxa"/>
          </w:tcPr>
          <w:p w14:paraId="34A6CBDC" w14:textId="09C88E0F" w:rsidR="00DE4F31" w:rsidRDefault="00F86BEF" w:rsidP="00566C6E">
            <w:pPr>
              <w:rPr>
                <w:rFonts w:ascii="Arial" w:eastAsia="Times New Roman" w:hAnsi="Arial" w:cs="Arial"/>
                <w:b/>
                <w:bCs/>
                <w:sz w:val="20"/>
                <w:szCs w:val="20"/>
              </w:rPr>
            </w:pPr>
            <w:r w:rsidRPr="007D5A22">
              <w:rPr>
                <w:rFonts w:ascii="Arial" w:eastAsia="Times New Roman" w:hAnsi="Arial" w:cs="Arial"/>
                <w:b/>
                <w:bCs/>
                <w:sz w:val="20"/>
                <w:szCs w:val="20"/>
              </w:rPr>
              <w:t> 11/ Legal basis and lawfulness of the processing operation</w:t>
            </w:r>
            <w:r w:rsidR="009222FD">
              <w:rPr>
                <w:rFonts w:ascii="Arial" w:eastAsia="Times New Roman" w:hAnsi="Arial" w:cs="Arial"/>
                <w:b/>
                <w:bCs/>
                <w:sz w:val="20"/>
                <w:szCs w:val="20"/>
              </w:rPr>
              <w:t xml:space="preserve"> </w:t>
            </w:r>
          </w:p>
          <w:p w14:paraId="7DE78452" w14:textId="77777777" w:rsidR="00D864C3" w:rsidRDefault="00D864C3" w:rsidP="00566C6E">
            <w:pPr>
              <w:rPr>
                <w:rFonts w:ascii="Arial" w:eastAsia="Times New Roman" w:hAnsi="Arial" w:cs="Arial"/>
                <w:b/>
                <w:bCs/>
                <w:sz w:val="20"/>
                <w:szCs w:val="20"/>
              </w:rPr>
            </w:pPr>
          </w:p>
          <w:p w14:paraId="35CC2FFB" w14:textId="6EE5C8F3" w:rsidR="00D864C3" w:rsidRDefault="008F663D" w:rsidP="00566C6E">
            <w:r w:rsidRPr="00F06CF1">
              <w:rPr>
                <w:i/>
              </w:rPr>
              <w:t>Legal basis</w:t>
            </w:r>
            <w:r w:rsidRPr="00F06CF1">
              <w:t>:</w:t>
            </w:r>
          </w:p>
          <w:p w14:paraId="28A2D775" w14:textId="77777777" w:rsidR="00255A94" w:rsidRDefault="00255A94" w:rsidP="00566C6E"/>
          <w:p w14:paraId="1ACA4621" w14:textId="0C7815B4" w:rsidR="00A958F6" w:rsidRDefault="00A958F6" w:rsidP="00A958F6">
            <w:pPr>
              <w:jc w:val="both"/>
            </w:pPr>
            <w:r>
              <w:t>Pursuant to Article 298(1) of the Treaty on the Functioning of the European Union “</w:t>
            </w:r>
            <w:r>
              <w:rPr>
                <w:rFonts w:eastAsia="Times New Roman" w:cs="Arial"/>
                <w:bCs/>
                <w:i/>
                <w:color w:val="000000" w:themeColor="text1"/>
              </w:rPr>
              <w:t>i</w:t>
            </w:r>
            <w:r w:rsidRPr="00A958F6">
              <w:rPr>
                <w:rFonts w:eastAsia="Times New Roman" w:cs="Arial"/>
                <w:bCs/>
                <w:i/>
                <w:color w:val="000000" w:themeColor="text1"/>
              </w:rPr>
              <w:t>n carrying out their missions, the institutions, bodies, offices and agencies of the Union shall have the support of an open, efficient and independent European administration</w:t>
            </w:r>
            <w:r w:rsidRPr="00A958F6">
              <w:t>.”</w:t>
            </w:r>
          </w:p>
          <w:p w14:paraId="5CF131E2" w14:textId="77777777" w:rsidR="00A958F6" w:rsidRPr="00F06CF1" w:rsidRDefault="00A958F6" w:rsidP="00566C6E"/>
          <w:p w14:paraId="3CEAACC7" w14:textId="5B4C579F" w:rsidR="00A958F6" w:rsidRPr="00A958F6" w:rsidRDefault="00A958F6" w:rsidP="00A958F6">
            <w:pPr>
              <w:jc w:val="both"/>
              <w:rPr>
                <w:rFonts w:ascii="EUAlbertina" w:hAnsi="EUAlbertina" w:cs="EUAlbertina"/>
                <w:color w:val="000000"/>
                <w:sz w:val="24"/>
                <w:szCs w:val="24"/>
                <w:lang w:val="en-GB"/>
              </w:rPr>
            </w:pPr>
            <w:r>
              <w:t>Pursuant to Recital 18</w:t>
            </w:r>
            <w:r w:rsidR="002E49FE" w:rsidRPr="00F06CF1">
              <w:t xml:space="preserve"> of </w:t>
            </w:r>
            <w:r w:rsidR="00D864C3" w:rsidRPr="00F06CF1">
              <w:t>Regulation (EC) No 713</w:t>
            </w:r>
            <w:r w:rsidR="00CE3BA5" w:rsidRPr="00F06CF1">
              <w:t>/</w:t>
            </w:r>
            <w:r w:rsidR="00D864C3" w:rsidRPr="00F06CF1">
              <w:t>2009</w:t>
            </w:r>
            <w:r>
              <w:t xml:space="preserve"> “</w:t>
            </w:r>
            <w:r w:rsidRPr="00A958F6">
              <w:rPr>
                <w:rFonts w:eastAsia="Times New Roman" w:cs="Arial"/>
                <w:bCs/>
                <w:i/>
                <w:color w:val="000000" w:themeColor="text1"/>
              </w:rPr>
              <w:t xml:space="preserve">The Agency should have the necessary powers to perform its regulatory functions in an efficient, transparent, reasoned and, above all, independent manner. The independence of the Agency from electricity and gas producers and transmission and distribution system operators is not only a key principle of good governance but also a fundamental condition to ensure market </w:t>
            </w:r>
            <w:r w:rsidRPr="00A958F6">
              <w:rPr>
                <w:rFonts w:eastAsia="Times New Roman" w:cs="Arial"/>
                <w:bCs/>
                <w:i/>
                <w:color w:val="000000" w:themeColor="text1"/>
              </w:rPr>
              <w:lastRenderedPageBreak/>
              <w:t>confidence</w:t>
            </w:r>
            <w:r>
              <w:rPr>
                <w:rFonts w:eastAsia="Times New Roman" w:cs="Arial"/>
                <w:bCs/>
                <w:color w:val="000000" w:themeColor="text1"/>
              </w:rPr>
              <w:t>”</w:t>
            </w:r>
            <w:r w:rsidRPr="00A958F6">
              <w:rPr>
                <w:rFonts w:eastAsia="Times New Roman" w:cs="Arial"/>
                <w:bCs/>
                <w:color w:val="000000" w:themeColor="text1"/>
              </w:rPr>
              <w:t xml:space="preserve">. </w:t>
            </w:r>
          </w:p>
          <w:p w14:paraId="39452658" w14:textId="43F9F85E" w:rsidR="00A958F6" w:rsidRDefault="00A958F6" w:rsidP="003A712B">
            <w:pPr>
              <w:jc w:val="both"/>
              <w:rPr>
                <w:lang w:val="en-GB"/>
              </w:rPr>
            </w:pPr>
          </w:p>
          <w:p w14:paraId="76B6A0BC" w14:textId="2EE2BEA1" w:rsidR="00A958F6" w:rsidRDefault="00A958F6" w:rsidP="002E3C38">
            <w:pPr>
              <w:autoSpaceDE w:val="0"/>
              <w:autoSpaceDN w:val="0"/>
              <w:adjustRightInd w:val="0"/>
              <w:jc w:val="both"/>
              <w:rPr>
                <w:lang w:val="en-GB"/>
              </w:rPr>
            </w:pPr>
            <w:r>
              <w:rPr>
                <w:lang w:val="en-GB"/>
              </w:rPr>
              <w:t>Pursuant to the combined reading of Article 11 of the Conditions of Employment of other Servants, and Articles 11 and 11a of the Staff Regulations, a</w:t>
            </w:r>
            <w:r w:rsidRPr="00A958F6">
              <w:rPr>
                <w:lang w:val="en-GB"/>
              </w:rPr>
              <w:t>n official shall carry out his duties and conduct himself solely with the intere</w:t>
            </w:r>
            <w:r>
              <w:rPr>
                <w:lang w:val="en-GB"/>
              </w:rPr>
              <w:t xml:space="preserve">sts of the </w:t>
            </w:r>
            <w:r w:rsidR="002E3C38">
              <w:rPr>
                <w:lang w:val="en-GB"/>
              </w:rPr>
              <w:t>Union</w:t>
            </w:r>
            <w:r>
              <w:rPr>
                <w:lang w:val="en-GB"/>
              </w:rPr>
              <w:t xml:space="preserve"> in mind. H</w:t>
            </w:r>
            <w:r w:rsidRPr="00A958F6">
              <w:rPr>
                <w:lang w:val="en-GB"/>
              </w:rPr>
              <w:t>e shall neither seek</w:t>
            </w:r>
            <w:r>
              <w:rPr>
                <w:lang w:val="en-GB"/>
              </w:rPr>
              <w:t xml:space="preserve"> nor take instructions from any </w:t>
            </w:r>
            <w:r w:rsidRPr="00A958F6">
              <w:rPr>
                <w:lang w:val="en-GB"/>
              </w:rPr>
              <w:t>government, authority, organisation or per</w:t>
            </w:r>
            <w:r>
              <w:rPr>
                <w:lang w:val="en-GB"/>
              </w:rPr>
              <w:t xml:space="preserve">son outside his </w:t>
            </w:r>
            <w:r w:rsidRPr="00A958F6">
              <w:rPr>
                <w:lang w:val="en-GB"/>
              </w:rPr>
              <w:t xml:space="preserve">institution. He shall carry out the duties assigned to him objectively, impartially </w:t>
            </w:r>
            <w:r>
              <w:rPr>
                <w:lang w:val="en-GB"/>
              </w:rPr>
              <w:t xml:space="preserve">and in keeping with his duty of </w:t>
            </w:r>
            <w:r w:rsidRPr="00A958F6">
              <w:rPr>
                <w:lang w:val="en-GB"/>
              </w:rPr>
              <w:t xml:space="preserve">loyalty to the </w:t>
            </w:r>
            <w:r>
              <w:rPr>
                <w:lang w:val="en-GB"/>
              </w:rPr>
              <w:t>Union</w:t>
            </w:r>
            <w:r w:rsidRPr="00A958F6">
              <w:rPr>
                <w:lang w:val="en-GB"/>
              </w:rPr>
              <w:t>.</w:t>
            </w:r>
            <w:r w:rsidR="002E3C38">
              <w:rPr>
                <w:lang w:val="en-GB"/>
              </w:rPr>
              <w:t xml:space="preserve"> </w:t>
            </w:r>
            <w:r w:rsidR="002E3C38" w:rsidRPr="002E3C38">
              <w:rPr>
                <w:lang w:val="en-GB"/>
              </w:rPr>
              <w:t>An official shall not, in the performance of his duties and save as hereinafter provided, deal with a matter in</w:t>
            </w:r>
            <w:r w:rsidR="002E3C38">
              <w:rPr>
                <w:lang w:val="en-GB"/>
              </w:rPr>
              <w:t xml:space="preserve"> </w:t>
            </w:r>
            <w:r w:rsidR="002E3C38" w:rsidRPr="002E3C38">
              <w:rPr>
                <w:lang w:val="en-GB"/>
              </w:rPr>
              <w:t>which, directly or indirectly, he has any personal interest such as to impair his in</w:t>
            </w:r>
            <w:r w:rsidR="002E3C38">
              <w:rPr>
                <w:lang w:val="en-GB"/>
              </w:rPr>
              <w:t xml:space="preserve">dependence, and, in particular, family and financial interests. </w:t>
            </w:r>
            <w:r w:rsidR="002E3C38" w:rsidRPr="002E3C38">
              <w:rPr>
                <w:lang w:val="en-GB"/>
              </w:rPr>
              <w:t>Any official to whom it falls, in the performance of his duties, to deal with a matter ref</w:t>
            </w:r>
            <w:r w:rsidR="002E3C38">
              <w:rPr>
                <w:lang w:val="en-GB"/>
              </w:rPr>
              <w:t xml:space="preserve">erred to above shall </w:t>
            </w:r>
            <w:r w:rsidR="002E3C38" w:rsidRPr="002E3C38">
              <w:rPr>
                <w:lang w:val="en-GB"/>
              </w:rPr>
              <w:t>immediately inform the Appointing Authority. The Appointing Authority shal</w:t>
            </w:r>
            <w:r w:rsidR="002E3C38">
              <w:rPr>
                <w:lang w:val="en-GB"/>
              </w:rPr>
              <w:t xml:space="preserve">l take any appropriate measure, </w:t>
            </w:r>
            <w:r w:rsidR="002E3C38" w:rsidRPr="002E3C38">
              <w:rPr>
                <w:lang w:val="en-GB"/>
              </w:rPr>
              <w:t>and may in particular relieve the official from</w:t>
            </w:r>
            <w:r w:rsidR="002E3C38">
              <w:rPr>
                <w:lang w:val="en-GB"/>
              </w:rPr>
              <w:t xml:space="preserve"> responsibility in this matter. Finally, a</w:t>
            </w:r>
            <w:r w:rsidR="002E3C38" w:rsidRPr="002E3C38">
              <w:rPr>
                <w:lang w:val="en-GB"/>
              </w:rPr>
              <w:t>n official may neither keep nor acquire, directly or indirectly, in undert</w:t>
            </w:r>
            <w:r w:rsidR="002E3C38">
              <w:rPr>
                <w:lang w:val="en-GB"/>
              </w:rPr>
              <w:t xml:space="preserve">akings which are subject to the </w:t>
            </w:r>
            <w:r w:rsidR="002E3C38" w:rsidRPr="002E3C38">
              <w:rPr>
                <w:lang w:val="en-GB"/>
              </w:rPr>
              <w:t>authority of the institution to which he belongs or which have dealings with that in</w:t>
            </w:r>
            <w:r w:rsidR="002E3C38">
              <w:rPr>
                <w:lang w:val="en-GB"/>
              </w:rPr>
              <w:t xml:space="preserve">stitution, any interest of such </w:t>
            </w:r>
            <w:r w:rsidR="002E3C38" w:rsidRPr="002E3C38">
              <w:rPr>
                <w:lang w:val="en-GB"/>
              </w:rPr>
              <w:t>kind or magnitude as might impair his independence in the performance of his duties.</w:t>
            </w:r>
          </w:p>
          <w:p w14:paraId="35A682AF" w14:textId="7474B394" w:rsidR="000B5243" w:rsidRPr="002E3C38" w:rsidRDefault="000B5243" w:rsidP="002E3C38">
            <w:pPr>
              <w:autoSpaceDE w:val="0"/>
              <w:autoSpaceDN w:val="0"/>
              <w:adjustRightInd w:val="0"/>
              <w:jc w:val="both"/>
              <w:rPr>
                <w:lang w:val="en-GB"/>
              </w:rPr>
            </w:pPr>
          </w:p>
          <w:p w14:paraId="4FF053C8" w14:textId="77777777" w:rsidR="000B5243" w:rsidRPr="002E3C38" w:rsidRDefault="000B5243" w:rsidP="002E3C38">
            <w:pPr>
              <w:autoSpaceDE w:val="0"/>
              <w:autoSpaceDN w:val="0"/>
              <w:adjustRightInd w:val="0"/>
              <w:jc w:val="both"/>
              <w:rPr>
                <w:lang w:val="en-GB"/>
              </w:rPr>
            </w:pPr>
            <w:r w:rsidRPr="002E3C38">
              <w:rPr>
                <w:lang w:val="en-GB"/>
              </w:rPr>
              <w:t xml:space="preserve">In addition, the European Parliament, in its Decision of 3 April 2014 on discharge in respect of the implementation of the budget of the European Agency for the Cooperation of Energy Regulators for the financial year 2012 (C7-0328/2013 – 2013/2240(DEC)) observed that the CVs of the </w:t>
            </w:r>
            <w:proofErr w:type="spellStart"/>
            <w:r w:rsidRPr="002E3C38">
              <w:rPr>
                <w:lang w:val="en-GB"/>
              </w:rPr>
              <w:t>BoR</w:t>
            </w:r>
            <w:proofErr w:type="spellEnd"/>
            <w:r w:rsidRPr="002E3C38">
              <w:rPr>
                <w:lang w:val="en-GB"/>
              </w:rPr>
              <w:t xml:space="preserve"> members are not publicly available, and called on the Agency to remedy the situation as a matter of urgency. </w:t>
            </w:r>
          </w:p>
          <w:p w14:paraId="51CB0230" w14:textId="77777777" w:rsidR="000B5243" w:rsidRPr="002E3C38" w:rsidRDefault="000B5243" w:rsidP="002E3C38">
            <w:pPr>
              <w:autoSpaceDE w:val="0"/>
              <w:autoSpaceDN w:val="0"/>
              <w:adjustRightInd w:val="0"/>
              <w:jc w:val="both"/>
              <w:rPr>
                <w:lang w:val="en-GB"/>
              </w:rPr>
            </w:pPr>
          </w:p>
          <w:p w14:paraId="741FBFCE" w14:textId="77777777" w:rsidR="000B5243" w:rsidRPr="002E3C38" w:rsidRDefault="000B5243" w:rsidP="002E3C38">
            <w:pPr>
              <w:autoSpaceDE w:val="0"/>
              <w:autoSpaceDN w:val="0"/>
              <w:adjustRightInd w:val="0"/>
              <w:jc w:val="both"/>
              <w:rPr>
                <w:lang w:val="en-GB"/>
              </w:rPr>
            </w:pPr>
            <w:r w:rsidRPr="002E3C38">
              <w:rPr>
                <w:lang w:val="en-GB"/>
              </w:rPr>
              <w:t>In particular, the European Parliament, at point 11 of the above mentioned Decision, observed that “</w:t>
            </w:r>
            <w:r w:rsidRPr="002E3C38">
              <w:rPr>
                <w:i/>
                <w:lang w:val="en-GB"/>
              </w:rPr>
              <w:t>the CVs and declarations of interests of the Board of Regulators' members, the Director, senior management and the experts participating in the Agency's expert groups, as well as the CVs of the Administrative Board and Board of Appeal's members are not publicly available; calls on the Agency to remedy the situation as a matter of urgency</w:t>
            </w:r>
            <w:r w:rsidRPr="002E3C38">
              <w:rPr>
                <w:lang w:val="en-GB"/>
              </w:rPr>
              <w:t>.”</w:t>
            </w:r>
          </w:p>
          <w:p w14:paraId="005B0020" w14:textId="7BF520E1" w:rsidR="008F663D" w:rsidRPr="00F06CF1" w:rsidRDefault="008F663D" w:rsidP="00566C6E"/>
          <w:p w14:paraId="3E208A31" w14:textId="016246FC" w:rsidR="008F663D" w:rsidRDefault="008F663D" w:rsidP="00566C6E">
            <w:r w:rsidRPr="00F06CF1">
              <w:rPr>
                <w:i/>
              </w:rPr>
              <w:t>Lawfulness of the processing</w:t>
            </w:r>
            <w:r w:rsidRPr="00F06CF1">
              <w:t xml:space="preserve">: </w:t>
            </w:r>
          </w:p>
          <w:p w14:paraId="0022D72E" w14:textId="77777777" w:rsidR="00255A94" w:rsidRDefault="00255A94" w:rsidP="00255A94">
            <w:pPr>
              <w:rPr>
                <w:rFonts w:eastAsia="Times New Roman" w:cstheme="minorHAnsi"/>
                <w:bCs/>
                <w:sz w:val="20"/>
                <w:szCs w:val="20"/>
              </w:rPr>
            </w:pPr>
          </w:p>
          <w:p w14:paraId="51165AC6" w14:textId="77777777" w:rsidR="00255A94" w:rsidRPr="00255A94" w:rsidRDefault="00255A94" w:rsidP="00255A94">
            <w:pPr>
              <w:jc w:val="both"/>
            </w:pPr>
            <w:r w:rsidRPr="00255A94">
              <w:t>The processing is carried out in line with Regulation (EC) N</w:t>
            </w:r>
            <w:r>
              <w:t>o</w:t>
            </w:r>
            <w:r w:rsidRPr="00255A94">
              <w:t xml:space="preserve"> 45/2001 of the European Parliament and of the Council of 18 December 2000 on the protection of individuals with regard to the processing of personal data by the Community institutions and bodies and on the free movement of such data.</w:t>
            </w:r>
          </w:p>
          <w:p w14:paraId="3FCA5B1E" w14:textId="77777777" w:rsidR="00255A94" w:rsidRDefault="00255A94" w:rsidP="00255A94">
            <w:pPr>
              <w:jc w:val="both"/>
            </w:pPr>
          </w:p>
          <w:p w14:paraId="51683FF1" w14:textId="1D7BAF14" w:rsidR="000A1288" w:rsidRPr="00255A94" w:rsidRDefault="00255A94" w:rsidP="00255A94">
            <w:pPr>
              <w:jc w:val="both"/>
            </w:pPr>
            <w:r w:rsidRPr="00255A94">
              <w:t xml:space="preserve">In line with Article 5(a) </w:t>
            </w:r>
            <w:r>
              <w:t>of Regulation (EC) No. 45/2001, p</w:t>
            </w:r>
            <w:r w:rsidR="000A1288" w:rsidRPr="00255A94">
              <w:t xml:space="preserve">rocessing is necessary for the performance of a task carried out in the public interest on the basis of Article </w:t>
            </w:r>
            <w:r w:rsidR="00D51EDD">
              <w:t>14(5)</w:t>
            </w:r>
            <w:r w:rsidR="000A1288" w:rsidRPr="00255A94">
              <w:t xml:space="preserve"> of the Regulation (EC) No 713/2009 and the Treaties establishing the European Communities or other legal instruments adopted on the basis thereof and in the legitimate exercise of official authority vested in the Agency to whom the data are disclosed. </w:t>
            </w:r>
          </w:p>
          <w:p w14:paraId="25AC4051" w14:textId="77777777" w:rsidR="000A1288" w:rsidRPr="00255A94" w:rsidRDefault="000A1288" w:rsidP="00255A94">
            <w:pPr>
              <w:jc w:val="both"/>
            </w:pPr>
          </w:p>
          <w:p w14:paraId="223D9E60" w14:textId="133B52B3" w:rsidR="00255A94" w:rsidRDefault="000A1288" w:rsidP="00255A94">
            <w:pPr>
              <w:jc w:val="both"/>
            </w:pPr>
            <w:r w:rsidRPr="00255A94">
              <w:t xml:space="preserve">In addition, </w:t>
            </w:r>
            <w:r w:rsidR="003A712B">
              <w:t>i</w:t>
            </w:r>
            <w:r w:rsidR="00255A94" w:rsidRPr="00255A94">
              <w:t>n line with Article 5(</w:t>
            </w:r>
            <w:r w:rsidR="00255A94">
              <w:t>b</w:t>
            </w:r>
            <w:r w:rsidR="00255A94" w:rsidRPr="00255A94">
              <w:t xml:space="preserve">) </w:t>
            </w:r>
            <w:r w:rsidR="00255A94">
              <w:t xml:space="preserve">of Regulation (EC) No. 45/2001, </w:t>
            </w:r>
            <w:r w:rsidRPr="00255A94">
              <w:t xml:space="preserve">the processing of personal data is necessary for compliance with the legal obligations to which the controller is subject. </w:t>
            </w:r>
          </w:p>
          <w:p w14:paraId="40804187" w14:textId="77777777" w:rsidR="00FC3A46" w:rsidRDefault="00FC3A46" w:rsidP="00255A94">
            <w:pPr>
              <w:jc w:val="both"/>
            </w:pPr>
          </w:p>
          <w:p w14:paraId="135EBC4D" w14:textId="458EC6AD" w:rsidR="00FC3A46" w:rsidRDefault="00FC3A46" w:rsidP="00255A94">
            <w:pPr>
              <w:jc w:val="both"/>
            </w:pPr>
            <w:r>
              <w:t xml:space="preserve">Finally, in line with Article 5(d) of Regulation (EC) 45/2001, the data subjects are requested to provide their prior informed and unambiguous consent to the publication of their </w:t>
            </w:r>
            <w:proofErr w:type="spellStart"/>
            <w:r>
              <w:t>DoI</w:t>
            </w:r>
            <w:proofErr w:type="spellEnd"/>
            <w:r>
              <w:t xml:space="preserve"> and CV on the website of the Agency.</w:t>
            </w:r>
          </w:p>
          <w:p w14:paraId="3E55B6AC" w14:textId="77777777" w:rsidR="00255A94" w:rsidRDefault="00255A94" w:rsidP="00255A94">
            <w:pPr>
              <w:jc w:val="both"/>
            </w:pPr>
          </w:p>
          <w:p w14:paraId="1A15C9A4" w14:textId="77777777" w:rsidR="00FC3A46" w:rsidRDefault="00FC3A46" w:rsidP="00255A94">
            <w:pPr>
              <w:jc w:val="both"/>
              <w:rPr>
                <w:i/>
              </w:rPr>
            </w:pPr>
            <w:r>
              <w:rPr>
                <w:i/>
              </w:rPr>
              <w:t>Conclusions</w:t>
            </w:r>
          </w:p>
          <w:p w14:paraId="50E55A5D" w14:textId="77777777" w:rsidR="00FC3A46" w:rsidRPr="00FC3A46" w:rsidRDefault="00FC3A46" w:rsidP="00255A94">
            <w:pPr>
              <w:jc w:val="both"/>
              <w:rPr>
                <w:i/>
              </w:rPr>
            </w:pPr>
          </w:p>
          <w:p w14:paraId="704C8ACD" w14:textId="1D39B3FC" w:rsidR="00855AFF" w:rsidRPr="00255A94" w:rsidRDefault="00FC3A46" w:rsidP="00255A94">
            <w:pPr>
              <w:jc w:val="both"/>
            </w:pPr>
            <w:r>
              <w:t xml:space="preserve">In light of the legal basis and the activity undertaken to process the personal data identified at Section 6 </w:t>
            </w:r>
            <w:r>
              <w:lastRenderedPageBreak/>
              <w:t>above</w:t>
            </w:r>
            <w:r w:rsidR="00255A94">
              <w:t>, p</w:t>
            </w:r>
            <w:r w:rsidR="000A1288" w:rsidRPr="00255A94">
              <w:t xml:space="preserve">rocessing is adequate, relevant and not excessive in relation to the purpose for which data are collected and further processed. </w:t>
            </w:r>
          </w:p>
          <w:p w14:paraId="1A89B9A6" w14:textId="77777777" w:rsidR="002A77AC" w:rsidRDefault="002A77AC" w:rsidP="00255A94">
            <w:pPr>
              <w:jc w:val="both"/>
            </w:pPr>
          </w:p>
        </w:tc>
      </w:tr>
      <w:tr w:rsidR="00B75A0F" w14:paraId="4161F822" w14:textId="77777777" w:rsidTr="00B75A0F">
        <w:tc>
          <w:tcPr>
            <w:tcW w:w="9990" w:type="dxa"/>
          </w:tcPr>
          <w:p w14:paraId="1A5124AE" w14:textId="1FC2D4D9"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lastRenderedPageBreak/>
              <w:t> 12/ The recipients or categories of recipient to whom the data might be disclosed</w:t>
            </w:r>
          </w:p>
          <w:p w14:paraId="7934DBF9" w14:textId="77777777" w:rsidR="00255A94" w:rsidRDefault="00255A94" w:rsidP="00255A94">
            <w:pPr>
              <w:rPr>
                <w:rFonts w:cstheme="minorHAnsi"/>
                <w:bCs/>
                <w:sz w:val="20"/>
                <w:szCs w:val="20"/>
              </w:rPr>
            </w:pPr>
          </w:p>
          <w:p w14:paraId="0041D92A" w14:textId="77777777" w:rsidR="00255A94" w:rsidRDefault="00255A94" w:rsidP="00255A94">
            <w:pPr>
              <w:jc w:val="both"/>
            </w:pPr>
            <w:r w:rsidRPr="00255A94">
              <w:t xml:space="preserve">In line with the purposes of data processing, the data is disclosed to the following recipients or categories of recipients: </w:t>
            </w:r>
          </w:p>
          <w:p w14:paraId="5DAD85D2" w14:textId="77777777" w:rsidR="00255A94" w:rsidRDefault="00255A94" w:rsidP="00255A94">
            <w:pPr>
              <w:jc w:val="both"/>
            </w:pPr>
          </w:p>
          <w:p w14:paraId="64F3A693" w14:textId="390BF29E" w:rsidR="00255A94" w:rsidRPr="00255A94" w:rsidRDefault="00255A94" w:rsidP="00255A94">
            <w:pPr>
              <w:pStyle w:val="ListParagraph"/>
              <w:numPr>
                <w:ilvl w:val="0"/>
                <w:numId w:val="17"/>
              </w:numPr>
              <w:tabs>
                <w:tab w:val="left" w:pos="601"/>
              </w:tabs>
              <w:ind w:left="601" w:hanging="241"/>
              <w:jc w:val="both"/>
            </w:pPr>
            <w:r>
              <w:t xml:space="preserve">For the current year: </w:t>
            </w:r>
          </w:p>
          <w:p w14:paraId="0057E92E" w14:textId="107C199D" w:rsidR="00255A94" w:rsidRDefault="00FC3A46" w:rsidP="00DB4D0F">
            <w:pPr>
              <w:pStyle w:val="ListParagraph"/>
              <w:numPr>
                <w:ilvl w:val="0"/>
                <w:numId w:val="16"/>
              </w:numPr>
              <w:ind w:left="1026" w:hanging="425"/>
              <w:jc w:val="both"/>
            </w:pPr>
            <w:proofErr w:type="spellStart"/>
            <w:r>
              <w:t>Authorised</w:t>
            </w:r>
            <w:proofErr w:type="spellEnd"/>
            <w:r>
              <w:t xml:space="preserve"> </w:t>
            </w:r>
            <w:r w:rsidR="00255A94" w:rsidRPr="00255A94">
              <w:t xml:space="preserve">Staff of the Agency working in </w:t>
            </w:r>
            <w:r>
              <w:t>the Office of the</w:t>
            </w:r>
            <w:r w:rsidR="00255A94">
              <w:t xml:space="preserve"> </w:t>
            </w:r>
            <w:r>
              <w:t>Director</w:t>
            </w:r>
            <w:r w:rsidR="00255A94">
              <w:t>;</w:t>
            </w:r>
          </w:p>
          <w:p w14:paraId="03EF5AFB" w14:textId="6ABC7281" w:rsidR="00DB4D0F" w:rsidRDefault="00DB4D0F" w:rsidP="00DB4D0F">
            <w:pPr>
              <w:pStyle w:val="ListParagraph"/>
              <w:numPr>
                <w:ilvl w:val="0"/>
                <w:numId w:val="16"/>
              </w:numPr>
              <w:ind w:left="1026" w:hanging="425"/>
              <w:jc w:val="both"/>
            </w:pPr>
            <w:r>
              <w:t>the Appointing Authority;</w:t>
            </w:r>
          </w:p>
          <w:p w14:paraId="60D40660" w14:textId="2B7512B6" w:rsidR="00255A94" w:rsidRDefault="00255A94" w:rsidP="00F06CF1">
            <w:pPr>
              <w:pStyle w:val="ListParagraph"/>
              <w:numPr>
                <w:ilvl w:val="0"/>
                <w:numId w:val="16"/>
              </w:numPr>
              <w:ind w:left="1026" w:hanging="425"/>
              <w:jc w:val="both"/>
            </w:pPr>
            <w:r>
              <w:t>the general public;</w:t>
            </w:r>
          </w:p>
          <w:p w14:paraId="453BEF3C" w14:textId="77777777" w:rsidR="00DB4D0F" w:rsidRDefault="00DB4D0F" w:rsidP="00DB4D0F">
            <w:pPr>
              <w:ind w:left="601"/>
              <w:jc w:val="both"/>
            </w:pPr>
          </w:p>
          <w:p w14:paraId="455B9773" w14:textId="5EE122A5" w:rsidR="00255A94" w:rsidRDefault="00255A94" w:rsidP="00F06CF1">
            <w:pPr>
              <w:pStyle w:val="ListParagraph"/>
              <w:numPr>
                <w:ilvl w:val="0"/>
                <w:numId w:val="17"/>
              </w:numPr>
              <w:ind w:left="601" w:hanging="241"/>
              <w:jc w:val="both"/>
            </w:pPr>
            <w:r>
              <w:t>For the precedent years up to 5 years after the end of mandate:</w:t>
            </w:r>
          </w:p>
          <w:p w14:paraId="65CFBC3D" w14:textId="77777777" w:rsidR="00FC3A46" w:rsidRDefault="00FC3A46" w:rsidP="00FC3A46">
            <w:pPr>
              <w:pStyle w:val="ListParagraph"/>
              <w:numPr>
                <w:ilvl w:val="0"/>
                <w:numId w:val="18"/>
              </w:numPr>
              <w:tabs>
                <w:tab w:val="left" w:pos="1026"/>
              </w:tabs>
              <w:ind w:hanging="119"/>
              <w:jc w:val="both"/>
            </w:pPr>
            <w:proofErr w:type="spellStart"/>
            <w:r>
              <w:t>Authorised</w:t>
            </w:r>
            <w:proofErr w:type="spellEnd"/>
            <w:r>
              <w:t xml:space="preserve"> Staff of the Agency working in the Office of the Director;</w:t>
            </w:r>
          </w:p>
          <w:p w14:paraId="5A81B3D3" w14:textId="1F68E9BD" w:rsidR="00DB4D0F" w:rsidRDefault="00DB4D0F" w:rsidP="00FC3A46">
            <w:pPr>
              <w:pStyle w:val="ListParagraph"/>
              <w:numPr>
                <w:ilvl w:val="0"/>
                <w:numId w:val="18"/>
              </w:numPr>
              <w:tabs>
                <w:tab w:val="left" w:pos="1026"/>
              </w:tabs>
              <w:ind w:hanging="119"/>
              <w:jc w:val="both"/>
            </w:pPr>
            <w:r>
              <w:t>the Appointing Authority;</w:t>
            </w:r>
          </w:p>
          <w:p w14:paraId="187E9E15" w14:textId="0854A072" w:rsidR="00255A94" w:rsidRPr="00255A94" w:rsidRDefault="00DB4D0F" w:rsidP="00F06CF1">
            <w:pPr>
              <w:pStyle w:val="ListParagraph"/>
              <w:numPr>
                <w:ilvl w:val="0"/>
                <w:numId w:val="18"/>
              </w:numPr>
              <w:ind w:left="1026" w:hanging="425"/>
              <w:jc w:val="both"/>
            </w:pPr>
            <w:proofErr w:type="gramStart"/>
            <w:r>
              <w:t>o</w:t>
            </w:r>
            <w:r w:rsidR="00255A94" w:rsidRPr="00255A94">
              <w:t>ther</w:t>
            </w:r>
            <w:proofErr w:type="gramEnd"/>
            <w:r w:rsidR="00255A94" w:rsidRPr="00255A94">
              <w:t xml:space="preserve"> entities entitled to access the data</w:t>
            </w:r>
            <w:r w:rsidR="00255A94">
              <w:t xml:space="preserve"> pursuant to Regulation (EC) No. 1049/2001</w:t>
            </w:r>
            <w:r w:rsidR="00255A94" w:rsidRPr="00255A94">
              <w:t>.</w:t>
            </w:r>
          </w:p>
          <w:p w14:paraId="766EA53F" w14:textId="77777777" w:rsidR="00B60D9F" w:rsidRDefault="00B60D9F" w:rsidP="00B60D9F">
            <w:pPr>
              <w:jc w:val="both"/>
            </w:pPr>
          </w:p>
          <w:p w14:paraId="3D09F9E0" w14:textId="553CE73C" w:rsidR="00B60D9F" w:rsidRPr="00B60D9F" w:rsidRDefault="00B60D9F" w:rsidP="00B60D9F">
            <w:pPr>
              <w:jc w:val="both"/>
            </w:pPr>
            <w:r w:rsidRPr="00B60D9F">
              <w:t>If appropriate, access will be given to the European Court of Auditors, the European Ombudsman, the European Data Protection Supervisor, the European Court of Justice. If requested, personal data can also be disclosed to the European Anti-Fraud Office (OLAF).</w:t>
            </w:r>
          </w:p>
          <w:p w14:paraId="1C9CAB3D" w14:textId="77777777" w:rsidR="00B94A63" w:rsidRDefault="00B94A63" w:rsidP="00B60D9F"/>
        </w:tc>
      </w:tr>
      <w:tr w:rsidR="00B75A0F" w14:paraId="03F4380A" w14:textId="77777777" w:rsidTr="00B75A0F">
        <w:tc>
          <w:tcPr>
            <w:tcW w:w="9990" w:type="dxa"/>
          </w:tcPr>
          <w:p w14:paraId="66791A4C" w14:textId="6C0FAD91" w:rsidR="002A77AC" w:rsidRDefault="00F86BEF" w:rsidP="00443F5B">
            <w:pPr>
              <w:rPr>
                <w:rFonts w:ascii="Arial" w:eastAsia="Times New Roman" w:hAnsi="Arial" w:cs="Arial"/>
                <w:b/>
                <w:bCs/>
                <w:sz w:val="20"/>
                <w:szCs w:val="20"/>
              </w:rPr>
            </w:pPr>
            <w:r w:rsidRPr="007D5A22">
              <w:rPr>
                <w:rFonts w:ascii="Arial" w:eastAsia="Times New Roman" w:hAnsi="Arial" w:cs="Arial"/>
                <w:b/>
                <w:bCs/>
                <w:sz w:val="20"/>
                <w:szCs w:val="20"/>
              </w:rPr>
              <w:t> 13/ Retention policy of (categories of) personal data</w:t>
            </w:r>
            <w:r w:rsidR="00796250">
              <w:rPr>
                <w:rFonts w:ascii="Arial" w:eastAsia="Times New Roman" w:hAnsi="Arial" w:cs="Arial"/>
                <w:b/>
                <w:bCs/>
                <w:sz w:val="20"/>
                <w:szCs w:val="20"/>
              </w:rPr>
              <w:t xml:space="preserve"> </w:t>
            </w:r>
          </w:p>
          <w:p w14:paraId="2CAFB717" w14:textId="1166CB2C" w:rsidR="00E34949" w:rsidRDefault="00E34949" w:rsidP="00443F5B">
            <w:pPr>
              <w:rPr>
                <w:rFonts w:eastAsia="Times New Roman" w:cs="Arial"/>
                <w:bCs/>
              </w:rPr>
            </w:pPr>
            <w:r>
              <w:rPr>
                <w:rFonts w:eastAsia="Times New Roman" w:cs="Arial"/>
                <w:bCs/>
              </w:rPr>
              <w:t xml:space="preserve"> </w:t>
            </w:r>
          </w:p>
          <w:p w14:paraId="6B32BD35" w14:textId="6F9EE64D" w:rsidR="00B60D9F" w:rsidRPr="00B60D9F" w:rsidRDefault="00B60D9F" w:rsidP="00DB4D0F">
            <w:pPr>
              <w:jc w:val="both"/>
              <w:rPr>
                <w:rFonts w:eastAsia="Times New Roman" w:cs="Arial"/>
                <w:bCs/>
              </w:rPr>
            </w:pPr>
            <w:r w:rsidRPr="00B60D9F">
              <w:rPr>
                <w:rFonts w:eastAsia="Times New Roman" w:cs="Arial"/>
                <w:bCs/>
              </w:rPr>
              <w:t xml:space="preserve">The data retention period is foreseen for </w:t>
            </w:r>
            <w:r>
              <w:rPr>
                <w:rFonts w:eastAsia="Times New Roman" w:cs="Arial"/>
                <w:bCs/>
              </w:rPr>
              <w:t>5</w:t>
            </w:r>
            <w:r w:rsidRPr="00B60D9F">
              <w:rPr>
                <w:rFonts w:eastAsia="Times New Roman" w:cs="Arial"/>
                <w:bCs/>
              </w:rPr>
              <w:t xml:space="preserve"> years after the </w:t>
            </w:r>
            <w:r w:rsidR="00FC3A46">
              <w:rPr>
                <w:rFonts w:eastAsia="Times New Roman" w:cs="Arial"/>
                <w:bCs/>
              </w:rPr>
              <w:t>end of the employment relationship with the Agency</w:t>
            </w:r>
            <w:r>
              <w:rPr>
                <w:rFonts w:eastAsia="Times New Roman" w:cs="Arial"/>
                <w:bCs/>
              </w:rPr>
              <w:t xml:space="preserve">. </w:t>
            </w:r>
          </w:p>
          <w:p w14:paraId="5DFB1227" w14:textId="77777777" w:rsidR="002A77AC" w:rsidRDefault="002A77AC" w:rsidP="00B60D9F"/>
        </w:tc>
      </w:tr>
      <w:tr w:rsidR="00B75A0F" w14:paraId="70D183C5" w14:textId="77777777" w:rsidTr="00B75A0F">
        <w:tc>
          <w:tcPr>
            <w:tcW w:w="9990" w:type="dxa"/>
          </w:tcPr>
          <w:p w14:paraId="4B7D1710" w14:textId="6224750C" w:rsidR="00F37571" w:rsidRPr="00CB0F6F" w:rsidRDefault="00F86BEF" w:rsidP="00CB0F6F">
            <w:pPr>
              <w:rPr>
                <w:i/>
              </w:rPr>
            </w:pPr>
            <w:r w:rsidRPr="007D5A22">
              <w:rPr>
                <w:rFonts w:ascii="Arial" w:eastAsia="Times New Roman" w:hAnsi="Arial" w:cs="Arial"/>
                <w:b/>
                <w:bCs/>
                <w:sz w:val="20"/>
                <w:szCs w:val="20"/>
              </w:rPr>
              <w:t xml:space="preserve"> 13 a/ time limits for blocking and erasure of the different categories of data </w:t>
            </w:r>
            <w:r w:rsidRPr="007D5A22">
              <w:rPr>
                <w:rFonts w:ascii="Arial" w:eastAsia="Times New Roman" w:hAnsi="Arial" w:cs="Arial"/>
                <w:b/>
                <w:bCs/>
                <w:sz w:val="20"/>
                <w:szCs w:val="20"/>
              </w:rPr>
              <w:br/>
              <w:t>(on justified legitimate request from the data subject)</w:t>
            </w:r>
            <w:r w:rsidRPr="007D5A22">
              <w:rPr>
                <w:rFonts w:ascii="Arial" w:eastAsia="Times New Roman" w:hAnsi="Arial" w:cs="Arial"/>
                <w:b/>
                <w:bCs/>
                <w:sz w:val="20"/>
                <w:szCs w:val="20"/>
              </w:rPr>
              <w:br/>
            </w:r>
          </w:p>
          <w:p w14:paraId="1F7F375E" w14:textId="77777777" w:rsidR="00DB4D0F" w:rsidRDefault="00B60D9F" w:rsidP="00B60D9F">
            <w:pPr>
              <w:jc w:val="both"/>
            </w:pPr>
            <w:r>
              <w:t>By 31 March of every year</w:t>
            </w:r>
            <w:r w:rsidR="00F37571">
              <w:t>, SM is</w:t>
            </w:r>
            <w:r>
              <w:t xml:space="preserve"> requested to submit </w:t>
            </w:r>
            <w:r w:rsidR="00F37571">
              <w:t xml:space="preserve">his/her CV together with </w:t>
            </w:r>
            <w:r>
              <w:t xml:space="preserve">a </w:t>
            </w:r>
            <w:proofErr w:type="spellStart"/>
            <w:r w:rsidR="00F37571">
              <w:t>DoI</w:t>
            </w:r>
            <w:proofErr w:type="spellEnd"/>
            <w:r>
              <w:t>, duly filled-in, signed and dated</w:t>
            </w:r>
            <w:r w:rsidR="00F37571">
              <w:t>,</w:t>
            </w:r>
            <w:r>
              <w:t xml:space="preserve"> to </w:t>
            </w:r>
            <w:r w:rsidR="00F37571">
              <w:t>the identified staff member in the Office of the Director</w:t>
            </w:r>
            <w:r>
              <w:t>.</w:t>
            </w:r>
            <w:r w:rsidR="00DB4D0F">
              <w:t xml:space="preserve"> </w:t>
            </w:r>
          </w:p>
          <w:p w14:paraId="1D699D58" w14:textId="77777777" w:rsidR="00DB4D0F" w:rsidRDefault="00DB4D0F" w:rsidP="00B60D9F">
            <w:pPr>
              <w:jc w:val="both"/>
            </w:pPr>
          </w:p>
          <w:p w14:paraId="3E2CE49A" w14:textId="5ACB2C24" w:rsidR="00B60D9F" w:rsidRDefault="00DB4D0F" w:rsidP="00B60D9F">
            <w:pPr>
              <w:jc w:val="both"/>
            </w:pPr>
            <w:r>
              <w:t xml:space="preserve">In addition, SM is invited to submit a non-confidential version of the </w:t>
            </w:r>
            <w:proofErr w:type="spellStart"/>
            <w:r>
              <w:t>DoI</w:t>
            </w:r>
            <w:proofErr w:type="spellEnd"/>
            <w:r>
              <w:t xml:space="preserve"> to be published on the website of the Agency. In the non-confidential version the signature shall </w:t>
            </w:r>
            <w:r w:rsidR="004F0888">
              <w:t>not be present</w:t>
            </w:r>
            <w:r>
              <w:t xml:space="preserve"> for security purposes. </w:t>
            </w:r>
          </w:p>
          <w:p w14:paraId="48940C14" w14:textId="77777777" w:rsidR="00B60D9F" w:rsidRDefault="00B60D9F" w:rsidP="00B60D9F">
            <w:pPr>
              <w:jc w:val="both"/>
            </w:pPr>
          </w:p>
          <w:p w14:paraId="2A7F9A19" w14:textId="0130DCB9" w:rsidR="00645FAB" w:rsidRDefault="00B60D9F" w:rsidP="00B60D9F">
            <w:pPr>
              <w:jc w:val="both"/>
            </w:pPr>
            <w:r w:rsidRPr="009A36DD">
              <w:t xml:space="preserve">Any change in </w:t>
            </w:r>
            <w:r>
              <w:t>the</w:t>
            </w:r>
            <w:r w:rsidRPr="009A36DD">
              <w:t xml:space="preserve"> situation</w:t>
            </w:r>
            <w:r>
              <w:t xml:space="preserve"> included in the </w:t>
            </w:r>
            <w:proofErr w:type="spellStart"/>
            <w:r>
              <w:t>DoI</w:t>
            </w:r>
            <w:proofErr w:type="spellEnd"/>
            <w:r w:rsidRPr="009A36DD">
              <w:t xml:space="preserve">, which may be of relevance for the appraisal of the conflict of interest, should be directly communicated to the </w:t>
            </w:r>
            <w:r w:rsidR="00DB4D0F">
              <w:t>Appointing Authority</w:t>
            </w:r>
            <w:r w:rsidRPr="009A36DD">
              <w:t>.</w:t>
            </w:r>
            <w:r>
              <w:t xml:space="preserve"> </w:t>
            </w:r>
          </w:p>
          <w:p w14:paraId="5C7EB5E0" w14:textId="77777777" w:rsidR="00645FAB" w:rsidRDefault="00645FAB" w:rsidP="00B60D9F">
            <w:pPr>
              <w:jc w:val="both"/>
            </w:pPr>
          </w:p>
          <w:p w14:paraId="72A042E4" w14:textId="3E4DDF48" w:rsidR="00B60D9F" w:rsidRDefault="00B60D9F" w:rsidP="00B60D9F">
            <w:pPr>
              <w:jc w:val="both"/>
            </w:pPr>
            <w:r>
              <w:t xml:space="preserve">Soon after </w:t>
            </w:r>
            <w:r w:rsidR="00645FAB">
              <w:t>their</w:t>
            </w:r>
            <w:r>
              <w:t xml:space="preserve"> examination</w:t>
            </w:r>
            <w:r w:rsidR="00645FAB">
              <w:t xml:space="preserve"> and removal of unsolicited data</w:t>
            </w:r>
            <w:r w:rsidR="003A712B">
              <w:t>,</w:t>
            </w:r>
            <w:r>
              <w:t xml:space="preserve"> the </w:t>
            </w:r>
            <w:proofErr w:type="spellStart"/>
            <w:r>
              <w:t>DoI</w:t>
            </w:r>
            <w:proofErr w:type="spellEnd"/>
            <w:r w:rsidR="00645FAB">
              <w:t xml:space="preserve"> </w:t>
            </w:r>
            <w:r w:rsidR="00DB4D0F">
              <w:t xml:space="preserve">(in its non-confidential version) </w:t>
            </w:r>
            <w:r w:rsidR="00645FAB">
              <w:t>and CV are</w:t>
            </w:r>
            <w:r>
              <w:t xml:space="preserve"> published on the dedicated area of the Agency website. </w:t>
            </w:r>
          </w:p>
          <w:p w14:paraId="5A4FB057" w14:textId="77777777" w:rsidR="00B60D9F" w:rsidRDefault="00B60D9F">
            <w:pPr>
              <w:rPr>
                <w:rFonts w:ascii="Arial" w:eastAsia="Times New Roman" w:hAnsi="Arial" w:cs="Arial"/>
                <w:bCs/>
                <w:i/>
                <w:iCs/>
                <w:color w:val="FF0000"/>
                <w:sz w:val="20"/>
                <w:szCs w:val="20"/>
              </w:rPr>
            </w:pPr>
          </w:p>
          <w:p w14:paraId="7F48996A" w14:textId="5C0A764F" w:rsidR="00B60D9F" w:rsidRPr="00B60D9F" w:rsidRDefault="00B60D9F" w:rsidP="00B60D9F">
            <w:pPr>
              <w:jc w:val="both"/>
            </w:pPr>
            <w:r w:rsidRPr="00B60D9F">
              <w:t xml:space="preserve">Personal data will be erased after 5 years </w:t>
            </w:r>
            <w:r>
              <w:t>of the date of end of mandate</w:t>
            </w:r>
            <w:r w:rsidRPr="00B60D9F">
              <w:t xml:space="preserve"> (for more information on data retention period please see Section 13 above). </w:t>
            </w:r>
          </w:p>
          <w:p w14:paraId="61EE37CD" w14:textId="77777777" w:rsidR="00B60D9F" w:rsidRDefault="00B60D9F" w:rsidP="00B60D9F">
            <w:pPr>
              <w:jc w:val="both"/>
            </w:pPr>
          </w:p>
          <w:p w14:paraId="176BB07C" w14:textId="1F32673A" w:rsidR="00B60D9F" w:rsidRPr="00B60D9F" w:rsidRDefault="00B60D9F" w:rsidP="00B60D9F">
            <w:pPr>
              <w:jc w:val="both"/>
            </w:pPr>
            <w:r w:rsidRPr="00B60D9F">
              <w:t xml:space="preserve">Such period can be extended if necessary for the purpose of investigation including personal data. </w:t>
            </w:r>
          </w:p>
          <w:p w14:paraId="5C73CF8D" w14:textId="77777777" w:rsidR="00B60D9F" w:rsidRDefault="00B60D9F" w:rsidP="00B60D9F">
            <w:pPr>
              <w:jc w:val="both"/>
            </w:pPr>
          </w:p>
          <w:p w14:paraId="508E28A0" w14:textId="3686891F" w:rsidR="00B60D9F" w:rsidRPr="00B60D9F" w:rsidRDefault="00B60D9F" w:rsidP="00B60D9F">
            <w:pPr>
              <w:jc w:val="both"/>
            </w:pPr>
            <w:proofErr w:type="spellStart"/>
            <w:r>
              <w:t>DoI</w:t>
            </w:r>
            <w:proofErr w:type="spellEnd"/>
            <w:r w:rsidR="00645FAB">
              <w:t xml:space="preserve"> and CV</w:t>
            </w:r>
            <w:r>
              <w:t xml:space="preserve"> are substituted every year by an updated </w:t>
            </w:r>
            <w:proofErr w:type="spellStart"/>
            <w:r>
              <w:t>DoI</w:t>
            </w:r>
            <w:proofErr w:type="spellEnd"/>
            <w:r>
              <w:t>, applicable for the year in course. A</w:t>
            </w:r>
            <w:r w:rsidRPr="00B60D9F">
              <w:t xml:space="preserve">ccess to publicly </w:t>
            </w:r>
            <w:r w:rsidRPr="00B60D9F">
              <w:lastRenderedPageBreak/>
              <w:t>available data is</w:t>
            </w:r>
            <w:r>
              <w:t>, therefore,</w:t>
            </w:r>
            <w:r w:rsidRPr="00B60D9F">
              <w:t xml:space="preserve"> blocked after each calendar year, </w:t>
            </w:r>
            <w:r>
              <w:t xml:space="preserve">subsequent to the substitution of the </w:t>
            </w:r>
            <w:proofErr w:type="spellStart"/>
            <w:r>
              <w:t>DoI</w:t>
            </w:r>
            <w:proofErr w:type="spellEnd"/>
            <w:r>
              <w:t xml:space="preserve"> form</w:t>
            </w:r>
            <w:r w:rsidR="00645FAB">
              <w:t xml:space="preserve"> and the CV</w:t>
            </w:r>
            <w:r>
              <w:t xml:space="preserve"> applicable for the year in course</w:t>
            </w:r>
            <w:r w:rsidRPr="00B60D9F">
              <w:t>.</w:t>
            </w:r>
            <w:r>
              <w:t xml:space="preserve"> Data for previous years are available upon request in line with Regulation (EC) No. 1049/2001.</w:t>
            </w:r>
          </w:p>
          <w:p w14:paraId="17AD5CE5" w14:textId="77777777" w:rsidR="00D21423" w:rsidRDefault="00D21423" w:rsidP="00645FAB"/>
        </w:tc>
      </w:tr>
      <w:tr w:rsidR="00B75A0F" w14:paraId="5441CA84" w14:textId="77777777" w:rsidTr="00B75A0F">
        <w:tc>
          <w:tcPr>
            <w:tcW w:w="9990" w:type="dxa"/>
          </w:tcPr>
          <w:p w14:paraId="77A75181" w14:textId="77777777" w:rsidR="00B60D9F" w:rsidRDefault="00F86BEF">
            <w:pPr>
              <w:rPr>
                <w:rFonts w:eastAsia="Times New Roman" w:cs="Arial"/>
                <w:bCs/>
                <w:iCs/>
              </w:rPr>
            </w:pPr>
            <w:r w:rsidRPr="007D5A22">
              <w:rPr>
                <w:rFonts w:ascii="Arial" w:eastAsia="Times New Roman" w:hAnsi="Arial" w:cs="Arial"/>
                <w:b/>
                <w:bCs/>
                <w:sz w:val="20"/>
                <w:szCs w:val="20"/>
              </w:rPr>
              <w:lastRenderedPageBreak/>
              <w:t xml:space="preserve"> 14/ Historical, statistical or scientific purposes </w:t>
            </w:r>
            <w:r w:rsidRPr="007D5A22">
              <w:rPr>
                <w:rFonts w:ascii="Arial" w:eastAsia="Times New Roman" w:hAnsi="Arial" w:cs="Arial"/>
                <w:b/>
                <w:bCs/>
                <w:sz w:val="20"/>
                <w:szCs w:val="20"/>
              </w:rPr>
              <w:br/>
            </w:r>
          </w:p>
          <w:p w14:paraId="30B920D1" w14:textId="68EEC31D" w:rsidR="00B75A0F" w:rsidRPr="00CD1E59" w:rsidRDefault="00275A5A">
            <w:pPr>
              <w:rPr>
                <w:rFonts w:eastAsia="Times New Roman" w:cs="Arial"/>
                <w:bCs/>
                <w:iCs/>
                <w:color w:val="FF0000"/>
              </w:rPr>
            </w:pPr>
            <w:r w:rsidRPr="00CD1E59">
              <w:rPr>
                <w:rFonts w:eastAsia="Times New Roman" w:cs="Arial"/>
                <w:bCs/>
                <w:iCs/>
              </w:rPr>
              <w:t>N</w:t>
            </w:r>
            <w:r w:rsidR="00B60D9F">
              <w:rPr>
                <w:rFonts w:eastAsia="Times New Roman" w:cs="Arial"/>
                <w:bCs/>
                <w:iCs/>
              </w:rPr>
              <w:t xml:space="preserve">ot </w:t>
            </w:r>
            <w:r w:rsidRPr="00CD1E59">
              <w:rPr>
                <w:rFonts w:eastAsia="Times New Roman" w:cs="Arial"/>
                <w:bCs/>
                <w:iCs/>
              </w:rPr>
              <w:t>A</w:t>
            </w:r>
            <w:r w:rsidR="00B60D9F">
              <w:rPr>
                <w:rFonts w:eastAsia="Times New Roman" w:cs="Arial"/>
                <w:bCs/>
                <w:iCs/>
              </w:rPr>
              <w:t>pplicable</w:t>
            </w:r>
          </w:p>
          <w:p w14:paraId="492CBC54" w14:textId="77777777" w:rsidR="002A77AC" w:rsidRDefault="002A77AC"/>
        </w:tc>
      </w:tr>
      <w:tr w:rsidR="00B75A0F" w14:paraId="026C727A" w14:textId="77777777" w:rsidTr="00B75A0F">
        <w:tc>
          <w:tcPr>
            <w:tcW w:w="9990" w:type="dxa"/>
          </w:tcPr>
          <w:p w14:paraId="7B030849" w14:textId="77777777"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t xml:space="preserve"> 15/ Proposed transfers of data to third countries or international </w:t>
            </w:r>
            <w:proofErr w:type="spellStart"/>
            <w:r w:rsidRPr="007D5A22">
              <w:rPr>
                <w:rFonts w:ascii="Arial" w:eastAsia="Times New Roman" w:hAnsi="Arial" w:cs="Arial"/>
                <w:b/>
                <w:bCs/>
                <w:sz w:val="20"/>
                <w:szCs w:val="20"/>
              </w:rPr>
              <w:t>organisations</w:t>
            </w:r>
            <w:proofErr w:type="spellEnd"/>
          </w:p>
          <w:p w14:paraId="2AC0161D" w14:textId="77777777" w:rsidR="00B60D9F" w:rsidRDefault="00B60D9F">
            <w:pPr>
              <w:rPr>
                <w:rFonts w:eastAsia="Times New Roman" w:cs="Arial"/>
                <w:bCs/>
                <w:iCs/>
              </w:rPr>
            </w:pPr>
          </w:p>
          <w:p w14:paraId="5D97F02F" w14:textId="77777777" w:rsidR="002A77AC" w:rsidRDefault="00B60D9F">
            <w:pPr>
              <w:rPr>
                <w:rFonts w:eastAsia="Times New Roman" w:cs="Arial"/>
                <w:bCs/>
                <w:iCs/>
              </w:rPr>
            </w:pPr>
            <w:r w:rsidRPr="00CD1E59">
              <w:rPr>
                <w:rFonts w:eastAsia="Times New Roman" w:cs="Arial"/>
                <w:bCs/>
                <w:iCs/>
              </w:rPr>
              <w:t>N</w:t>
            </w:r>
            <w:r>
              <w:rPr>
                <w:rFonts w:eastAsia="Times New Roman" w:cs="Arial"/>
                <w:bCs/>
                <w:iCs/>
              </w:rPr>
              <w:t xml:space="preserve">ot </w:t>
            </w:r>
            <w:r w:rsidRPr="00CD1E59">
              <w:rPr>
                <w:rFonts w:eastAsia="Times New Roman" w:cs="Arial"/>
                <w:bCs/>
                <w:iCs/>
              </w:rPr>
              <w:t>A</w:t>
            </w:r>
            <w:r>
              <w:rPr>
                <w:rFonts w:eastAsia="Times New Roman" w:cs="Arial"/>
                <w:bCs/>
                <w:iCs/>
              </w:rPr>
              <w:t>pplicable</w:t>
            </w:r>
            <w:r w:rsidRPr="00B60D9F" w:rsidDel="00B60D9F">
              <w:rPr>
                <w:rFonts w:eastAsia="Times New Roman" w:cs="Arial"/>
                <w:bCs/>
                <w:iCs/>
              </w:rPr>
              <w:t xml:space="preserve"> </w:t>
            </w:r>
          </w:p>
          <w:p w14:paraId="48F537DA" w14:textId="44E589EC" w:rsidR="003A712B" w:rsidRDefault="003A712B"/>
        </w:tc>
      </w:tr>
      <w:tr w:rsidR="00F86BEF" w14:paraId="2FF82B6B" w14:textId="77777777" w:rsidTr="006E0788">
        <w:tc>
          <w:tcPr>
            <w:tcW w:w="9990" w:type="dxa"/>
            <w:vAlign w:val="center"/>
          </w:tcPr>
          <w:p w14:paraId="1570625A" w14:textId="77777777" w:rsidR="00F86BEF" w:rsidRDefault="00F86BEF" w:rsidP="006E0788">
            <w:pPr>
              <w:rPr>
                <w:rFonts w:ascii="Arial" w:eastAsia="Times New Roman" w:hAnsi="Arial" w:cs="Arial"/>
                <w:b/>
                <w:bCs/>
                <w:sz w:val="20"/>
                <w:szCs w:val="20"/>
              </w:rPr>
            </w:pPr>
            <w:r w:rsidRPr="007D5A22">
              <w:rPr>
                <w:rFonts w:ascii="Arial" w:eastAsia="Times New Roman" w:hAnsi="Arial" w:cs="Arial"/>
                <w:b/>
                <w:bCs/>
                <w:sz w:val="20"/>
                <w:szCs w:val="20"/>
              </w:rPr>
              <w:t xml:space="preserve"> 16/ The processing operation presents specific risk which justifies prior checking </w:t>
            </w:r>
          </w:p>
          <w:p w14:paraId="1379DABC" w14:textId="77777777" w:rsidR="002A77AC" w:rsidRPr="00575649" w:rsidRDefault="002A77AC" w:rsidP="0021482F">
            <w:pPr>
              <w:rPr>
                <w:rFonts w:eastAsia="Times New Roman" w:cs="Arial"/>
                <w:b/>
                <w:bCs/>
              </w:rPr>
            </w:pPr>
          </w:p>
          <w:p w14:paraId="28E63609" w14:textId="77777777" w:rsidR="007B7740" w:rsidRDefault="00B60D9F" w:rsidP="0021482F">
            <w:pPr>
              <w:rPr>
                <w:rFonts w:eastAsia="Times New Roman" w:cs="Arial"/>
                <w:bCs/>
              </w:rPr>
            </w:pPr>
            <w:r w:rsidRPr="00CD1E59">
              <w:rPr>
                <w:rFonts w:eastAsia="Times New Roman" w:cs="Arial"/>
                <w:bCs/>
                <w:iCs/>
              </w:rPr>
              <w:t>N</w:t>
            </w:r>
            <w:r>
              <w:rPr>
                <w:rFonts w:eastAsia="Times New Roman" w:cs="Arial"/>
                <w:bCs/>
                <w:iCs/>
              </w:rPr>
              <w:t xml:space="preserve">ot </w:t>
            </w:r>
            <w:r w:rsidRPr="00CD1E59">
              <w:rPr>
                <w:rFonts w:eastAsia="Times New Roman" w:cs="Arial"/>
                <w:bCs/>
                <w:iCs/>
              </w:rPr>
              <w:t>A</w:t>
            </w:r>
            <w:r>
              <w:rPr>
                <w:rFonts w:eastAsia="Times New Roman" w:cs="Arial"/>
                <w:bCs/>
                <w:iCs/>
              </w:rPr>
              <w:t>pplicable</w:t>
            </w:r>
            <w:r w:rsidRPr="00575649" w:rsidDel="00B60D9F">
              <w:rPr>
                <w:rFonts w:eastAsia="Times New Roman" w:cs="Arial"/>
                <w:bCs/>
              </w:rPr>
              <w:t xml:space="preserve"> </w:t>
            </w:r>
          </w:p>
          <w:p w14:paraId="2716C7B5" w14:textId="6FFBF7EC" w:rsidR="003A712B" w:rsidRPr="007D5A22" w:rsidRDefault="003A712B" w:rsidP="0021482F">
            <w:pPr>
              <w:rPr>
                <w:rFonts w:ascii="Arial" w:eastAsia="Times New Roman" w:hAnsi="Arial" w:cs="Arial"/>
                <w:b/>
                <w:bCs/>
                <w:sz w:val="20"/>
                <w:szCs w:val="20"/>
              </w:rPr>
            </w:pPr>
          </w:p>
        </w:tc>
      </w:tr>
      <w:tr w:rsidR="00F86BEF" w14:paraId="10BC0E71" w14:textId="77777777" w:rsidTr="006E0788">
        <w:tc>
          <w:tcPr>
            <w:tcW w:w="9990" w:type="dxa"/>
            <w:vAlign w:val="center"/>
          </w:tcPr>
          <w:p w14:paraId="5EA67858" w14:textId="77777777" w:rsidR="00F86BEF" w:rsidRDefault="00F86BEF" w:rsidP="006E0788">
            <w:pPr>
              <w:rPr>
                <w:rFonts w:ascii="Arial" w:eastAsia="Times New Roman" w:hAnsi="Arial" w:cs="Arial"/>
                <w:b/>
                <w:bCs/>
                <w:sz w:val="20"/>
                <w:szCs w:val="20"/>
              </w:rPr>
            </w:pPr>
            <w:r w:rsidRPr="007D5A22">
              <w:rPr>
                <w:rFonts w:ascii="Arial" w:eastAsia="Times New Roman" w:hAnsi="Arial" w:cs="Arial"/>
                <w:b/>
                <w:bCs/>
                <w:sz w:val="20"/>
                <w:szCs w:val="20"/>
              </w:rPr>
              <w:t> 17/ Comments</w:t>
            </w:r>
          </w:p>
          <w:p w14:paraId="261D2390" w14:textId="77777777" w:rsidR="00B60D9F" w:rsidRDefault="00B60D9F" w:rsidP="006E0788">
            <w:pPr>
              <w:rPr>
                <w:rFonts w:eastAsia="Times New Roman" w:cs="Arial"/>
                <w:bCs/>
                <w:iCs/>
              </w:rPr>
            </w:pPr>
          </w:p>
          <w:p w14:paraId="22B3AD85" w14:textId="77777777" w:rsidR="008465A4" w:rsidRDefault="00B60D9F" w:rsidP="006E0788">
            <w:pPr>
              <w:rPr>
                <w:rFonts w:ascii="Arial" w:eastAsia="Times New Roman" w:hAnsi="Arial" w:cs="Arial"/>
                <w:bCs/>
                <w:sz w:val="20"/>
                <w:szCs w:val="20"/>
              </w:rPr>
            </w:pPr>
            <w:r w:rsidRPr="00CD1E59">
              <w:rPr>
                <w:rFonts w:eastAsia="Times New Roman" w:cs="Arial"/>
                <w:bCs/>
                <w:iCs/>
              </w:rPr>
              <w:t>N</w:t>
            </w:r>
            <w:r>
              <w:rPr>
                <w:rFonts w:eastAsia="Times New Roman" w:cs="Arial"/>
                <w:bCs/>
                <w:iCs/>
              </w:rPr>
              <w:t xml:space="preserve">ot </w:t>
            </w:r>
            <w:r w:rsidRPr="00CD1E59">
              <w:rPr>
                <w:rFonts w:eastAsia="Times New Roman" w:cs="Arial"/>
                <w:bCs/>
                <w:iCs/>
              </w:rPr>
              <w:t>A</w:t>
            </w:r>
            <w:r>
              <w:rPr>
                <w:rFonts w:eastAsia="Times New Roman" w:cs="Arial"/>
                <w:bCs/>
                <w:iCs/>
              </w:rPr>
              <w:t>pplicable</w:t>
            </w:r>
            <w:r w:rsidRPr="00CD1E59" w:rsidDel="00B60D9F">
              <w:rPr>
                <w:rFonts w:ascii="Arial" w:eastAsia="Times New Roman" w:hAnsi="Arial" w:cs="Arial"/>
                <w:bCs/>
                <w:sz w:val="20"/>
                <w:szCs w:val="20"/>
              </w:rPr>
              <w:t xml:space="preserve"> </w:t>
            </w:r>
          </w:p>
          <w:p w14:paraId="3363A4F5" w14:textId="608D714D" w:rsidR="003A712B" w:rsidRPr="007D5A22" w:rsidRDefault="003A712B" w:rsidP="006E0788">
            <w:pPr>
              <w:rPr>
                <w:rFonts w:ascii="Arial" w:eastAsia="Times New Roman" w:hAnsi="Arial" w:cs="Arial"/>
                <w:b/>
                <w:bCs/>
                <w:sz w:val="20"/>
                <w:szCs w:val="20"/>
              </w:rPr>
            </w:pPr>
          </w:p>
        </w:tc>
      </w:tr>
      <w:tr w:rsidR="00F86BEF" w14:paraId="59F88BF2" w14:textId="77777777" w:rsidTr="00B75A0F">
        <w:tc>
          <w:tcPr>
            <w:tcW w:w="9990" w:type="dxa"/>
          </w:tcPr>
          <w:p w14:paraId="1982CAD0" w14:textId="77777777" w:rsidR="00796250" w:rsidRDefault="00F86BEF" w:rsidP="00796250">
            <w:pPr>
              <w:rPr>
                <w:rFonts w:ascii="Arial" w:eastAsia="Times New Roman" w:hAnsi="Arial" w:cs="Arial"/>
                <w:b/>
                <w:bCs/>
                <w:i/>
                <w:iCs/>
                <w:sz w:val="18"/>
                <w:szCs w:val="18"/>
              </w:rPr>
            </w:pPr>
            <w:r w:rsidRPr="007D5A22">
              <w:rPr>
                <w:rFonts w:ascii="Arial" w:eastAsia="Times New Roman" w:hAnsi="Arial" w:cs="Arial"/>
                <w:b/>
                <w:bCs/>
                <w:sz w:val="20"/>
                <w:szCs w:val="20"/>
              </w:rPr>
              <w:t xml:space="preserve"> 18/ Measures to ensure security of processing </w:t>
            </w:r>
            <w:r w:rsidRPr="007D5A22">
              <w:rPr>
                <w:rFonts w:ascii="Arial" w:eastAsia="Times New Roman" w:hAnsi="Arial" w:cs="Arial"/>
                <w:b/>
                <w:bCs/>
                <w:i/>
                <w:iCs/>
                <w:sz w:val="16"/>
                <w:szCs w:val="16"/>
              </w:rPr>
              <w:t>(3</w:t>
            </w:r>
            <w:proofErr w:type="gramStart"/>
            <w:r w:rsidRPr="007D5A22">
              <w:rPr>
                <w:rFonts w:ascii="Arial" w:eastAsia="Times New Roman" w:hAnsi="Arial" w:cs="Arial"/>
                <w:b/>
                <w:bCs/>
                <w:i/>
                <w:iCs/>
                <w:sz w:val="16"/>
                <w:szCs w:val="16"/>
              </w:rPr>
              <w:t>)</w:t>
            </w:r>
            <w:proofErr w:type="gramEnd"/>
            <w:r w:rsidRPr="007D5A22">
              <w:rPr>
                <w:rFonts w:ascii="Arial" w:eastAsia="Times New Roman" w:hAnsi="Arial" w:cs="Arial"/>
                <w:b/>
                <w:bCs/>
                <w:sz w:val="20"/>
                <w:szCs w:val="20"/>
              </w:rPr>
              <w:br/>
            </w:r>
            <w:r w:rsidR="00796250">
              <w:rPr>
                <w:rFonts w:ascii="Arial" w:eastAsia="Times New Roman" w:hAnsi="Arial" w:cs="Arial"/>
                <w:b/>
                <w:bCs/>
                <w:i/>
                <w:iCs/>
                <w:sz w:val="18"/>
                <w:szCs w:val="18"/>
              </w:rPr>
              <w:t xml:space="preserve">these measures are described in Article 22 of Regulation 45/2001. </w:t>
            </w:r>
          </w:p>
          <w:p w14:paraId="28BADAC3" w14:textId="77777777" w:rsidR="00F06CF1" w:rsidRDefault="00F06CF1" w:rsidP="00F06CF1">
            <w:pPr>
              <w:rPr>
                <w:rFonts w:eastAsia="Times New Roman" w:cs="Arial"/>
                <w:bCs/>
                <w:iCs/>
              </w:rPr>
            </w:pPr>
          </w:p>
          <w:p w14:paraId="3DFFB9B8" w14:textId="011E541F" w:rsidR="00B60D9F" w:rsidRPr="00F06CF1" w:rsidRDefault="00B60D9F" w:rsidP="00AF1D4B">
            <w:pPr>
              <w:jc w:val="both"/>
              <w:rPr>
                <w:rFonts w:eastAsia="Times New Roman" w:cs="Arial"/>
                <w:bCs/>
                <w:iCs/>
              </w:rPr>
            </w:pPr>
            <w:r w:rsidRPr="00F06CF1">
              <w:rPr>
                <w:rFonts w:eastAsia="Times New Roman" w:cs="Arial"/>
                <w:bCs/>
                <w:iCs/>
              </w:rPr>
              <w:t>Prior to publication</w:t>
            </w:r>
            <w:r w:rsidR="00AF1D4B">
              <w:rPr>
                <w:rFonts w:eastAsia="Times New Roman" w:cs="Arial"/>
                <w:bCs/>
                <w:iCs/>
              </w:rPr>
              <w:t xml:space="preserve"> and after yearly updated</w:t>
            </w:r>
            <w:r w:rsidRPr="00F06CF1">
              <w:rPr>
                <w:rFonts w:eastAsia="Times New Roman" w:cs="Arial"/>
                <w:bCs/>
                <w:iCs/>
              </w:rPr>
              <w:t>, processing of personal data within the Register, will be protected by:</w:t>
            </w:r>
          </w:p>
          <w:p w14:paraId="73D84B72" w14:textId="323680FA" w:rsidR="00B60D9F" w:rsidRPr="00F06CF1" w:rsidRDefault="00B60D9F" w:rsidP="00AF1D4B">
            <w:pPr>
              <w:pStyle w:val="ListParagraph"/>
              <w:numPr>
                <w:ilvl w:val="0"/>
                <w:numId w:val="21"/>
              </w:numPr>
              <w:jc w:val="both"/>
              <w:rPr>
                <w:rFonts w:eastAsia="Times New Roman" w:cs="Arial"/>
                <w:bCs/>
                <w:iCs/>
              </w:rPr>
            </w:pPr>
            <w:r w:rsidRPr="00F06CF1">
              <w:rPr>
                <w:rFonts w:eastAsia="Times New Roman" w:cs="Arial"/>
                <w:bCs/>
                <w:iCs/>
              </w:rPr>
              <w:t xml:space="preserve">access </w:t>
            </w:r>
            <w:r w:rsidR="00AF1D4B">
              <w:rPr>
                <w:rFonts w:eastAsia="Times New Roman" w:cs="Arial"/>
                <w:bCs/>
                <w:iCs/>
              </w:rPr>
              <w:t xml:space="preserve">limited only to </w:t>
            </w:r>
            <w:proofErr w:type="spellStart"/>
            <w:r w:rsidR="00AF1D4B">
              <w:rPr>
                <w:rFonts w:eastAsia="Times New Roman" w:cs="Arial"/>
                <w:bCs/>
                <w:iCs/>
              </w:rPr>
              <w:t>a</w:t>
            </w:r>
            <w:r w:rsidRPr="00F06CF1">
              <w:rPr>
                <w:rFonts w:eastAsia="Times New Roman" w:cs="Arial"/>
                <w:bCs/>
                <w:iCs/>
              </w:rPr>
              <w:t>uthori</w:t>
            </w:r>
            <w:r w:rsidR="00CE2143">
              <w:rPr>
                <w:rFonts w:eastAsia="Times New Roman" w:cs="Arial"/>
                <w:bCs/>
                <w:iCs/>
              </w:rPr>
              <w:t>s</w:t>
            </w:r>
            <w:r w:rsidRPr="00F06CF1">
              <w:rPr>
                <w:rFonts w:eastAsia="Times New Roman" w:cs="Arial"/>
                <w:bCs/>
                <w:iCs/>
              </w:rPr>
              <w:t>ed</w:t>
            </w:r>
            <w:proofErr w:type="spellEnd"/>
            <w:r w:rsidRPr="00F06CF1">
              <w:rPr>
                <w:rFonts w:eastAsia="Times New Roman" w:cs="Arial"/>
                <w:bCs/>
                <w:iCs/>
              </w:rPr>
              <w:t xml:space="preserve"> Staff Members</w:t>
            </w:r>
            <w:r w:rsidR="00F06CF1" w:rsidRPr="00F06CF1">
              <w:rPr>
                <w:rFonts w:eastAsia="Times New Roman" w:cs="Arial"/>
                <w:bCs/>
                <w:iCs/>
              </w:rPr>
              <w:t xml:space="preserve"> </w:t>
            </w:r>
            <w:r w:rsidR="003A712B">
              <w:rPr>
                <w:rFonts w:eastAsia="Times New Roman" w:cs="Arial"/>
                <w:bCs/>
                <w:iCs/>
              </w:rPr>
              <w:t>of the Agency</w:t>
            </w:r>
            <w:r w:rsidR="00F06CF1" w:rsidRPr="00F06CF1">
              <w:rPr>
                <w:rFonts w:eastAsia="Times New Roman" w:cs="Arial"/>
                <w:bCs/>
                <w:iCs/>
              </w:rPr>
              <w:t xml:space="preserve">; </w:t>
            </w:r>
          </w:p>
          <w:p w14:paraId="1F48C737" w14:textId="21AB2DB0" w:rsidR="00F06CF1" w:rsidRDefault="00AF1D4B" w:rsidP="001F55E4">
            <w:pPr>
              <w:pStyle w:val="ListParagraph"/>
              <w:numPr>
                <w:ilvl w:val="0"/>
                <w:numId w:val="21"/>
              </w:numPr>
              <w:jc w:val="both"/>
              <w:rPr>
                <w:rFonts w:eastAsia="Times New Roman" w:cs="Arial"/>
                <w:bCs/>
                <w:iCs/>
              </w:rPr>
            </w:pPr>
            <w:r>
              <w:rPr>
                <w:rFonts w:eastAsia="Times New Roman" w:cs="Arial"/>
                <w:bCs/>
                <w:iCs/>
              </w:rPr>
              <w:t>v</w:t>
            </w:r>
            <w:r w:rsidR="00F06CF1" w:rsidRPr="00F06CF1">
              <w:rPr>
                <w:rFonts w:eastAsia="Times New Roman" w:cs="Arial"/>
                <w:bCs/>
                <w:iCs/>
              </w:rPr>
              <w:t xml:space="preserve">erification that </w:t>
            </w:r>
            <w:r w:rsidR="003A712B">
              <w:rPr>
                <w:rFonts w:eastAsia="Times New Roman" w:cs="Arial"/>
                <w:bCs/>
                <w:iCs/>
              </w:rPr>
              <w:t xml:space="preserve">the </w:t>
            </w:r>
            <w:proofErr w:type="spellStart"/>
            <w:r w:rsidR="00F06CF1" w:rsidRPr="00F06CF1">
              <w:rPr>
                <w:rFonts w:eastAsia="Times New Roman" w:cs="Arial"/>
                <w:bCs/>
                <w:iCs/>
              </w:rPr>
              <w:t>DoI</w:t>
            </w:r>
            <w:proofErr w:type="spellEnd"/>
            <w:r w:rsidR="003A712B">
              <w:rPr>
                <w:rFonts w:eastAsia="Times New Roman" w:cs="Arial"/>
                <w:bCs/>
                <w:iCs/>
              </w:rPr>
              <w:t xml:space="preserve"> forms</w:t>
            </w:r>
            <w:r w:rsidR="00F06CF1" w:rsidRPr="00F06CF1">
              <w:rPr>
                <w:rFonts w:eastAsia="Times New Roman" w:cs="Arial"/>
                <w:bCs/>
                <w:iCs/>
              </w:rPr>
              <w:t xml:space="preserve"> do not contain unsolicited data</w:t>
            </w:r>
            <w:r w:rsidR="003A712B">
              <w:rPr>
                <w:rFonts w:eastAsia="Times New Roman" w:cs="Arial"/>
                <w:bCs/>
                <w:iCs/>
              </w:rPr>
              <w:t>,</w:t>
            </w:r>
            <w:r w:rsidR="00F06CF1" w:rsidRPr="00F06CF1">
              <w:rPr>
                <w:rFonts w:eastAsia="Times New Roman" w:cs="Arial"/>
                <w:bCs/>
                <w:iCs/>
              </w:rPr>
              <w:t xml:space="preserve"> not necessary for the purpose of the processing;</w:t>
            </w:r>
          </w:p>
          <w:p w14:paraId="60888816" w14:textId="333F1D69" w:rsidR="00645FAB" w:rsidRPr="001F55E4" w:rsidRDefault="004F0888" w:rsidP="001F55E4">
            <w:pPr>
              <w:pStyle w:val="ListParagraph"/>
              <w:numPr>
                <w:ilvl w:val="0"/>
                <w:numId w:val="21"/>
              </w:numPr>
              <w:jc w:val="both"/>
              <w:rPr>
                <w:rFonts w:eastAsia="Times New Roman" w:cs="Arial"/>
                <w:bCs/>
                <w:iCs/>
              </w:rPr>
            </w:pPr>
            <w:proofErr w:type="gramStart"/>
            <w:r>
              <w:rPr>
                <w:rFonts w:eastAsia="Times New Roman" w:cs="Arial"/>
                <w:bCs/>
                <w:iCs/>
              </w:rPr>
              <w:t>review</w:t>
            </w:r>
            <w:proofErr w:type="gramEnd"/>
            <w:r w:rsidR="00645FAB">
              <w:rPr>
                <w:rFonts w:eastAsia="Times New Roman" w:cs="Arial"/>
                <w:bCs/>
                <w:iCs/>
              </w:rPr>
              <w:t xml:space="preserve"> of a non-confidential version </w:t>
            </w:r>
            <w:r>
              <w:rPr>
                <w:rFonts w:eastAsia="Times New Roman" w:cs="Arial"/>
                <w:bCs/>
                <w:iCs/>
              </w:rPr>
              <w:t xml:space="preserve">of the </w:t>
            </w:r>
            <w:proofErr w:type="spellStart"/>
            <w:r>
              <w:rPr>
                <w:rFonts w:eastAsia="Times New Roman" w:cs="Arial"/>
                <w:bCs/>
                <w:iCs/>
              </w:rPr>
              <w:t>DoI</w:t>
            </w:r>
            <w:proofErr w:type="spellEnd"/>
            <w:r>
              <w:rPr>
                <w:rFonts w:eastAsia="Times New Roman" w:cs="Arial"/>
                <w:bCs/>
                <w:iCs/>
              </w:rPr>
              <w:t xml:space="preserve"> to ensure that </w:t>
            </w:r>
            <w:r w:rsidR="00645FAB">
              <w:rPr>
                <w:rFonts w:eastAsia="Times New Roman" w:cs="Arial"/>
                <w:bCs/>
                <w:iCs/>
              </w:rPr>
              <w:t>the signature of the member of the SM concerned</w:t>
            </w:r>
            <w:r>
              <w:rPr>
                <w:rFonts w:eastAsia="Times New Roman" w:cs="Arial"/>
                <w:bCs/>
                <w:iCs/>
              </w:rPr>
              <w:t xml:space="preserve"> is not present</w:t>
            </w:r>
            <w:r w:rsidR="00645FAB">
              <w:rPr>
                <w:rFonts w:eastAsia="Times New Roman" w:cs="Arial"/>
                <w:bCs/>
                <w:iCs/>
              </w:rPr>
              <w:t>.</w:t>
            </w:r>
          </w:p>
          <w:p w14:paraId="77E4130C" w14:textId="77777777" w:rsidR="00F06CF1" w:rsidRDefault="00F06CF1" w:rsidP="00F06CF1">
            <w:pPr>
              <w:rPr>
                <w:rFonts w:eastAsia="Times New Roman" w:cs="Arial"/>
                <w:bCs/>
                <w:iCs/>
              </w:rPr>
            </w:pPr>
          </w:p>
          <w:p w14:paraId="159EDD49" w14:textId="5E91C56F" w:rsidR="00B60D9F" w:rsidRPr="00F06CF1" w:rsidRDefault="00B60D9F" w:rsidP="001F55E4">
            <w:pPr>
              <w:jc w:val="both"/>
              <w:rPr>
                <w:rFonts w:eastAsia="Times New Roman" w:cs="Arial"/>
                <w:bCs/>
                <w:iCs/>
              </w:rPr>
            </w:pPr>
            <w:r w:rsidRPr="00F06CF1">
              <w:rPr>
                <w:rFonts w:eastAsia="Times New Roman" w:cs="Arial"/>
                <w:bCs/>
                <w:iCs/>
              </w:rPr>
              <w:t>Further</w:t>
            </w:r>
            <w:r w:rsidR="00F06CF1" w:rsidRPr="00F06CF1">
              <w:rPr>
                <w:rFonts w:eastAsia="Times New Roman" w:cs="Arial"/>
                <w:bCs/>
                <w:iCs/>
              </w:rPr>
              <w:t xml:space="preserve"> to publication, </w:t>
            </w:r>
            <w:r w:rsidRPr="00F06CF1">
              <w:rPr>
                <w:rFonts w:eastAsia="Times New Roman" w:cs="Arial"/>
                <w:bCs/>
                <w:iCs/>
              </w:rPr>
              <w:t xml:space="preserve">there cannot be any </w:t>
            </w:r>
            <w:proofErr w:type="spellStart"/>
            <w:r w:rsidR="00F06CF1" w:rsidRPr="00F06CF1">
              <w:rPr>
                <w:rFonts w:eastAsia="Times New Roman" w:cs="Arial"/>
                <w:bCs/>
                <w:iCs/>
              </w:rPr>
              <w:t>unauthori</w:t>
            </w:r>
            <w:r w:rsidR="00CE2143">
              <w:rPr>
                <w:rFonts w:eastAsia="Times New Roman" w:cs="Arial"/>
                <w:bCs/>
                <w:iCs/>
              </w:rPr>
              <w:t>s</w:t>
            </w:r>
            <w:r w:rsidR="00F06CF1" w:rsidRPr="00F06CF1">
              <w:rPr>
                <w:rFonts w:eastAsia="Times New Roman" w:cs="Arial"/>
                <w:bCs/>
                <w:iCs/>
              </w:rPr>
              <w:t>ed</w:t>
            </w:r>
            <w:proofErr w:type="spellEnd"/>
            <w:r w:rsidR="001F55E4">
              <w:rPr>
                <w:rFonts w:eastAsia="Times New Roman" w:cs="Arial"/>
                <w:bCs/>
                <w:iCs/>
              </w:rPr>
              <w:t xml:space="preserve"> access.</w:t>
            </w:r>
            <w:r w:rsidRPr="00F06CF1">
              <w:rPr>
                <w:rFonts w:eastAsia="Times New Roman" w:cs="Arial"/>
                <w:bCs/>
                <w:iCs/>
              </w:rPr>
              <w:t xml:space="preserve"> </w:t>
            </w:r>
            <w:r w:rsidR="00DB4D0F">
              <w:rPr>
                <w:rFonts w:eastAsia="Times New Roman" w:cs="Arial"/>
                <w:bCs/>
                <w:iCs/>
              </w:rPr>
              <w:t xml:space="preserve">However, the Agency undertakes to publish only non-confidential versions of the </w:t>
            </w:r>
            <w:proofErr w:type="spellStart"/>
            <w:r w:rsidR="00DB4D0F">
              <w:rPr>
                <w:rFonts w:eastAsia="Times New Roman" w:cs="Arial"/>
                <w:bCs/>
                <w:iCs/>
              </w:rPr>
              <w:t>DoI</w:t>
            </w:r>
            <w:proofErr w:type="spellEnd"/>
            <w:r w:rsidR="00DB4D0F">
              <w:rPr>
                <w:rFonts w:eastAsia="Times New Roman" w:cs="Arial"/>
                <w:bCs/>
                <w:iCs/>
              </w:rPr>
              <w:t xml:space="preserve"> with the signature of the relevant member of the SM duly erased. </w:t>
            </w:r>
            <w:r w:rsidR="001F55E4">
              <w:rPr>
                <w:rFonts w:eastAsia="Times New Roman" w:cs="Arial"/>
                <w:bCs/>
                <w:iCs/>
              </w:rPr>
              <w:t>No</w:t>
            </w:r>
            <w:r w:rsidRPr="00F06CF1">
              <w:rPr>
                <w:rFonts w:eastAsia="Times New Roman" w:cs="Arial"/>
                <w:bCs/>
                <w:iCs/>
              </w:rPr>
              <w:t xml:space="preserve"> modifications of such data will be possible</w:t>
            </w:r>
            <w:r w:rsidR="00615CB5">
              <w:rPr>
                <w:rFonts w:eastAsia="Times New Roman" w:cs="Arial"/>
                <w:bCs/>
                <w:iCs/>
              </w:rPr>
              <w:t xml:space="preserve"> unless requested according to Regulation 45/2001.</w:t>
            </w:r>
          </w:p>
          <w:p w14:paraId="49AB4529" w14:textId="77777777" w:rsidR="00796250" w:rsidRDefault="00796250" w:rsidP="00796250">
            <w:pPr>
              <w:rPr>
                <w:rFonts w:ascii="Arial" w:eastAsia="Times New Roman" w:hAnsi="Arial" w:cs="Arial"/>
                <w:b/>
                <w:bCs/>
                <w:i/>
                <w:iCs/>
                <w:sz w:val="18"/>
                <w:szCs w:val="18"/>
              </w:rPr>
            </w:pPr>
          </w:p>
          <w:p w14:paraId="05E5BFB7" w14:textId="77777777" w:rsidR="002A77AC" w:rsidRDefault="002A77AC" w:rsidP="00B60D9F">
            <w:pPr>
              <w:autoSpaceDE w:val="0"/>
              <w:autoSpaceDN w:val="0"/>
              <w:adjustRightInd w:val="0"/>
            </w:pPr>
          </w:p>
        </w:tc>
      </w:tr>
    </w:tbl>
    <w:p w14:paraId="2F1DB328" w14:textId="77777777" w:rsidR="00B75A0F" w:rsidRDefault="00B75A0F"/>
    <w:tbl>
      <w:tblPr>
        <w:tblW w:w="10000" w:type="dxa"/>
        <w:tblInd w:w="93" w:type="dxa"/>
        <w:tblLook w:val="04A0" w:firstRow="1" w:lastRow="0" w:firstColumn="1" w:lastColumn="0" w:noHBand="0" w:noVBand="1"/>
      </w:tblPr>
      <w:tblGrid>
        <w:gridCol w:w="10000"/>
      </w:tblGrid>
      <w:tr w:rsidR="00F86BEF" w:rsidRPr="007D5A22" w14:paraId="7D6CBFFE" w14:textId="77777777" w:rsidTr="006E0788">
        <w:trPr>
          <w:trHeight w:val="1785"/>
        </w:trPr>
        <w:tc>
          <w:tcPr>
            <w:tcW w:w="10000" w:type="dxa"/>
            <w:tcBorders>
              <w:top w:val="single" w:sz="4" w:space="0" w:color="auto"/>
              <w:left w:val="single" w:sz="4" w:space="0" w:color="auto"/>
              <w:bottom w:val="single" w:sz="4" w:space="0" w:color="auto"/>
              <w:right w:val="single" w:sz="4" w:space="0" w:color="auto"/>
            </w:tcBorders>
            <w:shd w:val="clear" w:color="000000" w:fill="FFFFFF"/>
            <w:hideMark/>
          </w:tcPr>
          <w:p w14:paraId="216EE31E" w14:textId="398A8E08" w:rsidR="00232EC7" w:rsidRDefault="00F86BEF" w:rsidP="00232EC7">
            <w:pPr>
              <w:spacing w:after="0" w:line="240" w:lineRule="auto"/>
              <w:rPr>
                <w:rFonts w:ascii="Arial" w:eastAsia="Times New Roman" w:hAnsi="Arial" w:cs="Arial"/>
                <w:sz w:val="20"/>
                <w:szCs w:val="20"/>
              </w:rPr>
            </w:pPr>
            <w:r w:rsidRPr="007D5A22">
              <w:rPr>
                <w:rFonts w:ascii="Arial" w:eastAsia="Times New Roman" w:hAnsi="Arial" w:cs="Arial"/>
                <w:sz w:val="20"/>
                <w:szCs w:val="20"/>
              </w:rPr>
              <w:br/>
              <w:t xml:space="preserve">PLACE AND DATE: Ljubljana, Slovenia; </w:t>
            </w:r>
            <w:r w:rsidR="001D4430">
              <w:rPr>
                <w:rFonts w:ascii="Arial" w:eastAsia="Times New Roman" w:hAnsi="Arial" w:cs="Arial"/>
                <w:sz w:val="20"/>
                <w:szCs w:val="20"/>
              </w:rPr>
              <w:t>[DD].[</w:t>
            </w:r>
            <w:r w:rsidR="00645FAB">
              <w:rPr>
                <w:rFonts w:ascii="Arial" w:eastAsia="Times New Roman" w:hAnsi="Arial" w:cs="Arial"/>
                <w:sz w:val="20"/>
                <w:szCs w:val="20"/>
              </w:rPr>
              <w:t>10</w:t>
            </w:r>
            <w:r w:rsidR="001D4430">
              <w:rPr>
                <w:rFonts w:ascii="Arial" w:eastAsia="Times New Roman" w:hAnsi="Arial" w:cs="Arial"/>
                <w:sz w:val="20"/>
                <w:szCs w:val="20"/>
              </w:rPr>
              <w:t>].</w:t>
            </w:r>
            <w:r w:rsidR="00232EC7">
              <w:rPr>
                <w:rFonts w:ascii="Arial" w:eastAsia="Times New Roman" w:hAnsi="Arial" w:cs="Arial"/>
                <w:sz w:val="20"/>
                <w:szCs w:val="20"/>
              </w:rPr>
              <w:t>2014</w:t>
            </w:r>
          </w:p>
          <w:p w14:paraId="360BCAB8" w14:textId="77777777" w:rsidR="00F86BEF" w:rsidRPr="007D5A22" w:rsidRDefault="00F86BEF" w:rsidP="00232EC7">
            <w:pPr>
              <w:spacing w:after="0" w:line="240" w:lineRule="auto"/>
              <w:rPr>
                <w:rFonts w:ascii="Arial" w:eastAsia="Times New Roman" w:hAnsi="Arial" w:cs="Arial"/>
                <w:sz w:val="20"/>
                <w:szCs w:val="20"/>
              </w:rPr>
            </w:pPr>
            <w:r w:rsidRPr="007D5A22">
              <w:rPr>
                <w:rFonts w:ascii="Arial" w:eastAsia="Times New Roman" w:hAnsi="Arial" w:cs="Arial"/>
                <w:sz w:val="20"/>
                <w:szCs w:val="20"/>
              </w:rPr>
              <w:br/>
              <w:t>DATA PROTECTION OFFICER: Paul Martinet</w:t>
            </w:r>
            <w:r w:rsidRPr="007D5A22">
              <w:rPr>
                <w:rFonts w:ascii="Arial" w:eastAsia="Times New Roman" w:hAnsi="Arial" w:cs="Arial"/>
                <w:sz w:val="20"/>
                <w:szCs w:val="20"/>
              </w:rPr>
              <w:br/>
            </w:r>
            <w:r w:rsidRPr="007D5A22">
              <w:rPr>
                <w:rFonts w:ascii="Arial" w:eastAsia="Times New Roman" w:hAnsi="Arial" w:cs="Arial"/>
                <w:sz w:val="20"/>
                <w:szCs w:val="20"/>
              </w:rPr>
              <w:br/>
              <w:t xml:space="preserve">INSTITUTION OR BODY: Agency for the Cooperation of Energy Regulators </w:t>
            </w:r>
          </w:p>
        </w:tc>
      </w:tr>
    </w:tbl>
    <w:p w14:paraId="500E7A98" w14:textId="77777777" w:rsidR="00F86BEF" w:rsidRDefault="00F86BEF"/>
    <w:sectPr w:rsidR="00F86BE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427D4" w14:textId="77777777" w:rsidR="001E5244" w:rsidRDefault="001E5244" w:rsidP="00E338BF">
      <w:pPr>
        <w:spacing w:after="0" w:line="240" w:lineRule="auto"/>
      </w:pPr>
      <w:r>
        <w:separator/>
      </w:r>
    </w:p>
  </w:endnote>
  <w:endnote w:type="continuationSeparator" w:id="0">
    <w:p w14:paraId="31A9799E" w14:textId="77777777" w:rsidR="001E5244" w:rsidRDefault="001E5244" w:rsidP="00E3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5EE92" w14:textId="77777777" w:rsidR="001E5244" w:rsidRDefault="001E5244" w:rsidP="00E338BF">
      <w:pPr>
        <w:spacing w:after="0" w:line="240" w:lineRule="auto"/>
      </w:pPr>
      <w:r>
        <w:separator/>
      </w:r>
    </w:p>
  </w:footnote>
  <w:footnote w:type="continuationSeparator" w:id="0">
    <w:p w14:paraId="75D9451A" w14:textId="77777777" w:rsidR="001E5244" w:rsidRDefault="001E5244" w:rsidP="00E33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459226"/>
      <w:docPartObj>
        <w:docPartGallery w:val="Watermarks"/>
        <w:docPartUnique/>
      </w:docPartObj>
    </w:sdtPr>
    <w:sdtEndPr/>
    <w:sdtContent>
      <w:p w14:paraId="43B0B441" w14:textId="17F81940" w:rsidR="00D5436B" w:rsidRDefault="00C21E16">
        <w:pPr>
          <w:pStyle w:val="Header"/>
        </w:pPr>
        <w:r>
          <w:rPr>
            <w:noProof/>
            <w:lang w:eastAsia="zh-TW"/>
          </w:rPr>
          <w:pict w14:anchorId="0C4FE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7F2"/>
    <w:multiLevelType w:val="hybridMultilevel"/>
    <w:tmpl w:val="5E1858A4"/>
    <w:lvl w:ilvl="0" w:tplc="0A3CF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D1D88"/>
    <w:multiLevelType w:val="hybridMultilevel"/>
    <w:tmpl w:val="4F76B0FC"/>
    <w:lvl w:ilvl="0" w:tplc="57FA79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337CA"/>
    <w:multiLevelType w:val="hybridMultilevel"/>
    <w:tmpl w:val="0C3A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C2ED7"/>
    <w:multiLevelType w:val="hybridMultilevel"/>
    <w:tmpl w:val="6BFC2D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6885EE1"/>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9C19A5"/>
    <w:multiLevelType w:val="hybridMultilevel"/>
    <w:tmpl w:val="1814F9CC"/>
    <w:lvl w:ilvl="0" w:tplc="25800A2A">
      <w:numFmt w:val="bullet"/>
      <w:lvlText w:val="-"/>
      <w:lvlJc w:val="left"/>
      <w:pPr>
        <w:ind w:left="720" w:hanging="360"/>
      </w:pPr>
      <w:rPr>
        <w:rFonts w:ascii="Arial" w:eastAsiaTheme="minorHAnsi" w:hAnsi="Arial" w:cs="Arial"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1C2F67"/>
    <w:multiLevelType w:val="hybridMultilevel"/>
    <w:tmpl w:val="9410A1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4A4F67"/>
    <w:multiLevelType w:val="hybridMultilevel"/>
    <w:tmpl w:val="855CA294"/>
    <w:lvl w:ilvl="0" w:tplc="5C6AB6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5F6C33"/>
    <w:multiLevelType w:val="hybridMultilevel"/>
    <w:tmpl w:val="6040E8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9B399B"/>
    <w:multiLevelType w:val="hybridMultilevel"/>
    <w:tmpl w:val="46B29B36"/>
    <w:lvl w:ilvl="0" w:tplc="5DA646B8">
      <w:numFmt w:val="bullet"/>
      <w:lvlText w:val="-"/>
      <w:lvlJc w:val="left"/>
      <w:pPr>
        <w:ind w:left="1038" w:hanging="360"/>
      </w:pPr>
      <w:rPr>
        <w:rFonts w:ascii="Calibri" w:eastAsiaTheme="minorHAnsi" w:hAnsi="Calibri" w:cs="Verdana"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0">
    <w:nsid w:val="47B945EF"/>
    <w:multiLevelType w:val="hybridMultilevel"/>
    <w:tmpl w:val="4CB2C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B31A2"/>
    <w:multiLevelType w:val="hybridMultilevel"/>
    <w:tmpl w:val="C60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873FC7"/>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9E2C5D"/>
    <w:multiLevelType w:val="hybridMultilevel"/>
    <w:tmpl w:val="C19653A8"/>
    <w:lvl w:ilvl="0" w:tplc="25800A2A">
      <w:numFmt w:val="bullet"/>
      <w:lvlText w:val="-"/>
      <w:lvlJc w:val="left"/>
      <w:pPr>
        <w:ind w:left="720" w:hanging="360"/>
      </w:pPr>
      <w:rPr>
        <w:rFonts w:ascii="Arial" w:eastAsiaTheme="minorHAnsi" w:hAnsi="Arial" w:cs="Arial"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FA22E8"/>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6C763D"/>
    <w:multiLevelType w:val="hybridMultilevel"/>
    <w:tmpl w:val="98BA7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5C7DAF"/>
    <w:multiLevelType w:val="hybridMultilevel"/>
    <w:tmpl w:val="E06E5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3634B"/>
    <w:multiLevelType w:val="hybridMultilevel"/>
    <w:tmpl w:val="CCF8EDDC"/>
    <w:lvl w:ilvl="0" w:tplc="B1241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BF1519"/>
    <w:multiLevelType w:val="hybridMultilevel"/>
    <w:tmpl w:val="973C6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A13130"/>
    <w:multiLevelType w:val="hybridMultilevel"/>
    <w:tmpl w:val="224AC882"/>
    <w:lvl w:ilvl="0" w:tplc="FFF4C398">
      <w:start w:val="1"/>
      <w:numFmt w:val="decimal"/>
      <w:lvlText w:val="%1."/>
      <w:lvlJc w:val="left"/>
      <w:pPr>
        <w:ind w:left="720" w:hanging="360"/>
      </w:pPr>
      <w:rPr>
        <w:rFonts w:eastAsia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4F2219"/>
    <w:multiLevelType w:val="hybridMultilevel"/>
    <w:tmpl w:val="C31227D0"/>
    <w:lvl w:ilvl="0" w:tplc="25800A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511215"/>
    <w:multiLevelType w:val="hybridMultilevel"/>
    <w:tmpl w:val="D6DC591A"/>
    <w:lvl w:ilvl="0" w:tplc="25800A2A">
      <w:numFmt w:val="bullet"/>
      <w:lvlText w:val="-"/>
      <w:lvlJc w:val="left"/>
      <w:pPr>
        <w:ind w:left="720" w:hanging="360"/>
      </w:pPr>
      <w:rPr>
        <w:rFonts w:ascii="Arial" w:eastAsiaTheme="minorHAnsi" w:hAnsi="Arial" w:cs="Arial"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AD6D46"/>
    <w:multiLevelType w:val="hybridMultilevel"/>
    <w:tmpl w:val="F37097D4"/>
    <w:lvl w:ilvl="0" w:tplc="4E30F3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BE6698"/>
    <w:multiLevelType w:val="hybridMultilevel"/>
    <w:tmpl w:val="A2D07B1C"/>
    <w:lvl w:ilvl="0" w:tplc="0809000F">
      <w:start w:val="1"/>
      <w:numFmt w:val="decimal"/>
      <w:lvlText w:val="%1."/>
      <w:lvlJc w:val="left"/>
      <w:pPr>
        <w:ind w:left="720" w:hanging="360"/>
      </w:pPr>
      <w:rPr>
        <w:rFonts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947A78"/>
    <w:multiLevelType w:val="hybridMultilevel"/>
    <w:tmpl w:val="154AF462"/>
    <w:lvl w:ilvl="0" w:tplc="1382BFEA">
      <w:start w:val="1"/>
      <w:numFmt w:val="decimal"/>
      <w:lvlText w:val="%1."/>
      <w:lvlJc w:val="left"/>
      <w:pPr>
        <w:ind w:left="720" w:hanging="360"/>
      </w:pPr>
      <w:rPr>
        <w:rFonts w:asciiTheme="minorHAnsi" w:hAnsiTheme="minorHAnsi" w:cstheme="minorHAnsi"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F835E0"/>
    <w:multiLevelType w:val="hybridMultilevel"/>
    <w:tmpl w:val="C0EA5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8C4D65"/>
    <w:multiLevelType w:val="hybridMultilevel"/>
    <w:tmpl w:val="C4B63372"/>
    <w:lvl w:ilvl="0" w:tplc="25800A2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6345D0"/>
    <w:multiLevelType w:val="hybridMultilevel"/>
    <w:tmpl w:val="43543890"/>
    <w:lvl w:ilvl="0" w:tplc="C888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7"/>
  </w:num>
  <w:num w:numId="3">
    <w:abstractNumId w:val="11"/>
  </w:num>
  <w:num w:numId="4">
    <w:abstractNumId w:val="10"/>
  </w:num>
  <w:num w:numId="5">
    <w:abstractNumId w:val="8"/>
  </w:num>
  <w:num w:numId="6">
    <w:abstractNumId w:val="6"/>
  </w:num>
  <w:num w:numId="7">
    <w:abstractNumId w:val="24"/>
  </w:num>
  <w:num w:numId="8">
    <w:abstractNumId w:val="26"/>
  </w:num>
  <w:num w:numId="9">
    <w:abstractNumId w:val="4"/>
  </w:num>
  <w:num w:numId="10">
    <w:abstractNumId w:val="0"/>
  </w:num>
  <w:num w:numId="11">
    <w:abstractNumId w:val="18"/>
  </w:num>
  <w:num w:numId="12">
    <w:abstractNumId w:val="29"/>
  </w:num>
  <w:num w:numId="13">
    <w:abstractNumId w:val="1"/>
  </w:num>
  <w:num w:numId="14">
    <w:abstractNumId w:val="19"/>
  </w:num>
  <w:num w:numId="15">
    <w:abstractNumId w:val="20"/>
  </w:num>
  <w:num w:numId="16">
    <w:abstractNumId w:val="14"/>
  </w:num>
  <w:num w:numId="17">
    <w:abstractNumId w:val="7"/>
  </w:num>
  <w:num w:numId="18">
    <w:abstractNumId w:val="12"/>
  </w:num>
  <w:num w:numId="19">
    <w:abstractNumId w:val="2"/>
  </w:num>
  <w:num w:numId="20">
    <w:abstractNumId w:val="15"/>
  </w:num>
  <w:num w:numId="21">
    <w:abstractNumId w:val="21"/>
  </w:num>
  <w:num w:numId="22">
    <w:abstractNumId w:val="28"/>
  </w:num>
  <w:num w:numId="23">
    <w:abstractNumId w:val="13"/>
  </w:num>
  <w:num w:numId="24">
    <w:abstractNumId w:val="23"/>
  </w:num>
  <w:num w:numId="25">
    <w:abstractNumId w:val="25"/>
  </w:num>
  <w:num w:numId="26">
    <w:abstractNumId w:val="5"/>
  </w:num>
  <w:num w:numId="27">
    <w:abstractNumId w:val="22"/>
  </w:num>
  <w:num w:numId="28">
    <w:abstractNumId w:val="9"/>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3"/>
    <w:rsid w:val="000068A1"/>
    <w:rsid w:val="00041516"/>
    <w:rsid w:val="00075B22"/>
    <w:rsid w:val="000A1288"/>
    <w:rsid w:val="000B0D36"/>
    <w:rsid w:val="000B5243"/>
    <w:rsid w:val="000B74B4"/>
    <w:rsid w:val="000C1EA0"/>
    <w:rsid w:val="000D7AA8"/>
    <w:rsid w:val="000E2E8E"/>
    <w:rsid w:val="0010386C"/>
    <w:rsid w:val="0010676B"/>
    <w:rsid w:val="00137948"/>
    <w:rsid w:val="00161F65"/>
    <w:rsid w:val="00187AA7"/>
    <w:rsid w:val="001D33FB"/>
    <w:rsid w:val="001D4430"/>
    <w:rsid w:val="001E05E8"/>
    <w:rsid w:val="001E5244"/>
    <w:rsid w:val="001F55E4"/>
    <w:rsid w:val="002069F2"/>
    <w:rsid w:val="00206E74"/>
    <w:rsid w:val="00212F57"/>
    <w:rsid w:val="0021482F"/>
    <w:rsid w:val="00232EC7"/>
    <w:rsid w:val="00246CA9"/>
    <w:rsid w:val="00255A94"/>
    <w:rsid w:val="00275A5A"/>
    <w:rsid w:val="00277FB4"/>
    <w:rsid w:val="00286AC3"/>
    <w:rsid w:val="00293674"/>
    <w:rsid w:val="002A0041"/>
    <w:rsid w:val="002A2F26"/>
    <w:rsid w:val="002A77AC"/>
    <w:rsid w:val="002B2204"/>
    <w:rsid w:val="002B2EDC"/>
    <w:rsid w:val="002C084A"/>
    <w:rsid w:val="002C4834"/>
    <w:rsid w:val="002E08F1"/>
    <w:rsid w:val="002E3C38"/>
    <w:rsid w:val="002E49FE"/>
    <w:rsid w:val="002F1FFF"/>
    <w:rsid w:val="003061B7"/>
    <w:rsid w:val="0032344F"/>
    <w:rsid w:val="0032711D"/>
    <w:rsid w:val="00341C9A"/>
    <w:rsid w:val="00342F45"/>
    <w:rsid w:val="003464BD"/>
    <w:rsid w:val="00347793"/>
    <w:rsid w:val="00375DAF"/>
    <w:rsid w:val="003A2EDD"/>
    <w:rsid w:val="003A712B"/>
    <w:rsid w:val="003B6859"/>
    <w:rsid w:val="003E10B5"/>
    <w:rsid w:val="00432A46"/>
    <w:rsid w:val="004371C1"/>
    <w:rsid w:val="00440922"/>
    <w:rsid w:val="00443F5B"/>
    <w:rsid w:val="00452887"/>
    <w:rsid w:val="004550E2"/>
    <w:rsid w:val="004817E9"/>
    <w:rsid w:val="00486366"/>
    <w:rsid w:val="004B004F"/>
    <w:rsid w:val="004B1B9A"/>
    <w:rsid w:val="004E1312"/>
    <w:rsid w:val="004E199E"/>
    <w:rsid w:val="004F0888"/>
    <w:rsid w:val="00532297"/>
    <w:rsid w:val="00543B34"/>
    <w:rsid w:val="0055392E"/>
    <w:rsid w:val="00565897"/>
    <w:rsid w:val="00566C6E"/>
    <w:rsid w:val="00575649"/>
    <w:rsid w:val="00586D5D"/>
    <w:rsid w:val="005C0962"/>
    <w:rsid w:val="005D7F42"/>
    <w:rsid w:val="005E6DB0"/>
    <w:rsid w:val="006150D7"/>
    <w:rsid w:val="00615CB5"/>
    <w:rsid w:val="006378DD"/>
    <w:rsid w:val="00645FAB"/>
    <w:rsid w:val="0065616B"/>
    <w:rsid w:val="0068212E"/>
    <w:rsid w:val="00684136"/>
    <w:rsid w:val="006A482E"/>
    <w:rsid w:val="006A69B2"/>
    <w:rsid w:val="006C1AC1"/>
    <w:rsid w:val="006D2BFC"/>
    <w:rsid w:val="006E0788"/>
    <w:rsid w:val="006E0D30"/>
    <w:rsid w:val="00700BCB"/>
    <w:rsid w:val="00704E69"/>
    <w:rsid w:val="0072086B"/>
    <w:rsid w:val="00781B09"/>
    <w:rsid w:val="00787B74"/>
    <w:rsid w:val="00796250"/>
    <w:rsid w:val="007A5B63"/>
    <w:rsid w:val="007B7740"/>
    <w:rsid w:val="007C515C"/>
    <w:rsid w:val="007D0CC0"/>
    <w:rsid w:val="007E238A"/>
    <w:rsid w:val="007E304F"/>
    <w:rsid w:val="007F6637"/>
    <w:rsid w:val="00810949"/>
    <w:rsid w:val="00815474"/>
    <w:rsid w:val="00817735"/>
    <w:rsid w:val="00821E47"/>
    <w:rsid w:val="00830FC3"/>
    <w:rsid w:val="00843933"/>
    <w:rsid w:val="008465A4"/>
    <w:rsid w:val="00846E65"/>
    <w:rsid w:val="00851190"/>
    <w:rsid w:val="00852595"/>
    <w:rsid w:val="00855AFF"/>
    <w:rsid w:val="0087605F"/>
    <w:rsid w:val="00885B34"/>
    <w:rsid w:val="008912CE"/>
    <w:rsid w:val="008F39A9"/>
    <w:rsid w:val="008F53C6"/>
    <w:rsid w:val="008F663D"/>
    <w:rsid w:val="00902843"/>
    <w:rsid w:val="009222FD"/>
    <w:rsid w:val="00923DEA"/>
    <w:rsid w:val="009430F6"/>
    <w:rsid w:val="009513C5"/>
    <w:rsid w:val="0096734E"/>
    <w:rsid w:val="00980FC8"/>
    <w:rsid w:val="00981455"/>
    <w:rsid w:val="009A36DD"/>
    <w:rsid w:val="009B517F"/>
    <w:rsid w:val="009B6B64"/>
    <w:rsid w:val="00A2684D"/>
    <w:rsid w:val="00A41AA5"/>
    <w:rsid w:val="00A51543"/>
    <w:rsid w:val="00A63EAF"/>
    <w:rsid w:val="00A84AA3"/>
    <w:rsid w:val="00A958F6"/>
    <w:rsid w:val="00AA0979"/>
    <w:rsid w:val="00AC69A6"/>
    <w:rsid w:val="00AC73BD"/>
    <w:rsid w:val="00AC78AC"/>
    <w:rsid w:val="00AD77E4"/>
    <w:rsid w:val="00AE7A3C"/>
    <w:rsid w:val="00AF199D"/>
    <w:rsid w:val="00AF1D4B"/>
    <w:rsid w:val="00AF5DD8"/>
    <w:rsid w:val="00B222C7"/>
    <w:rsid w:val="00B22689"/>
    <w:rsid w:val="00B40EF6"/>
    <w:rsid w:val="00B43A3A"/>
    <w:rsid w:val="00B5776D"/>
    <w:rsid w:val="00B60D9F"/>
    <w:rsid w:val="00B75A0F"/>
    <w:rsid w:val="00B768BC"/>
    <w:rsid w:val="00B777A4"/>
    <w:rsid w:val="00B82554"/>
    <w:rsid w:val="00B84214"/>
    <w:rsid w:val="00B94A63"/>
    <w:rsid w:val="00BA6237"/>
    <w:rsid w:val="00BB5B9D"/>
    <w:rsid w:val="00BC7058"/>
    <w:rsid w:val="00C121DA"/>
    <w:rsid w:val="00C21E16"/>
    <w:rsid w:val="00C2533B"/>
    <w:rsid w:val="00C43B5A"/>
    <w:rsid w:val="00C7637E"/>
    <w:rsid w:val="00C76550"/>
    <w:rsid w:val="00CB0A82"/>
    <w:rsid w:val="00CB0F6F"/>
    <w:rsid w:val="00CD1E59"/>
    <w:rsid w:val="00CE2143"/>
    <w:rsid w:val="00CE3BA5"/>
    <w:rsid w:val="00CF0B6D"/>
    <w:rsid w:val="00D045B9"/>
    <w:rsid w:val="00D21423"/>
    <w:rsid w:val="00D22B92"/>
    <w:rsid w:val="00D24402"/>
    <w:rsid w:val="00D51EDD"/>
    <w:rsid w:val="00D5436B"/>
    <w:rsid w:val="00D62FBD"/>
    <w:rsid w:val="00D63E47"/>
    <w:rsid w:val="00D76EA9"/>
    <w:rsid w:val="00D864C3"/>
    <w:rsid w:val="00DB4D0F"/>
    <w:rsid w:val="00DD71B5"/>
    <w:rsid w:val="00DE4F31"/>
    <w:rsid w:val="00E102C0"/>
    <w:rsid w:val="00E25117"/>
    <w:rsid w:val="00E338BF"/>
    <w:rsid w:val="00E34949"/>
    <w:rsid w:val="00E43FE8"/>
    <w:rsid w:val="00E4765F"/>
    <w:rsid w:val="00E72543"/>
    <w:rsid w:val="00E960BD"/>
    <w:rsid w:val="00EA4D4C"/>
    <w:rsid w:val="00ED0E28"/>
    <w:rsid w:val="00ED6212"/>
    <w:rsid w:val="00F06CF1"/>
    <w:rsid w:val="00F1772A"/>
    <w:rsid w:val="00F358D9"/>
    <w:rsid w:val="00F362BB"/>
    <w:rsid w:val="00F37571"/>
    <w:rsid w:val="00F41818"/>
    <w:rsid w:val="00F50035"/>
    <w:rsid w:val="00F62B33"/>
    <w:rsid w:val="00F63D6C"/>
    <w:rsid w:val="00F86BEF"/>
    <w:rsid w:val="00F90855"/>
    <w:rsid w:val="00FB463C"/>
    <w:rsid w:val="00FC3A46"/>
    <w:rsid w:val="00FC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0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CommentReference">
    <w:name w:val="annotation reference"/>
    <w:basedOn w:val="DefaultParagraphFont"/>
    <w:uiPriority w:val="99"/>
    <w:semiHidden/>
    <w:unhideWhenUsed/>
    <w:rsid w:val="00981455"/>
    <w:rPr>
      <w:sz w:val="16"/>
      <w:szCs w:val="16"/>
    </w:rPr>
  </w:style>
  <w:style w:type="paragraph" w:styleId="CommentText">
    <w:name w:val="annotation text"/>
    <w:basedOn w:val="Normal"/>
    <w:link w:val="CommentTextChar"/>
    <w:uiPriority w:val="99"/>
    <w:unhideWhenUsed/>
    <w:rsid w:val="00981455"/>
    <w:pPr>
      <w:spacing w:line="240" w:lineRule="auto"/>
    </w:pPr>
    <w:rPr>
      <w:sz w:val="20"/>
      <w:szCs w:val="20"/>
    </w:rPr>
  </w:style>
  <w:style w:type="character" w:customStyle="1" w:styleId="CommentTextChar">
    <w:name w:val="Comment Text Char"/>
    <w:basedOn w:val="DefaultParagraphFont"/>
    <w:link w:val="CommentText"/>
    <w:uiPriority w:val="99"/>
    <w:rsid w:val="00981455"/>
    <w:rPr>
      <w:sz w:val="20"/>
      <w:szCs w:val="20"/>
    </w:rPr>
  </w:style>
  <w:style w:type="paragraph" w:styleId="CommentSubject">
    <w:name w:val="annotation subject"/>
    <w:basedOn w:val="CommentText"/>
    <w:next w:val="CommentText"/>
    <w:link w:val="CommentSubjectChar"/>
    <w:uiPriority w:val="99"/>
    <w:semiHidden/>
    <w:unhideWhenUsed/>
    <w:rsid w:val="00981455"/>
    <w:rPr>
      <w:b/>
      <w:bCs/>
    </w:rPr>
  </w:style>
  <w:style w:type="character" w:customStyle="1" w:styleId="CommentSubjectChar">
    <w:name w:val="Comment Subject Char"/>
    <w:basedOn w:val="CommentTextChar"/>
    <w:link w:val="CommentSubject"/>
    <w:uiPriority w:val="99"/>
    <w:semiHidden/>
    <w:rsid w:val="00981455"/>
    <w:rPr>
      <w:b/>
      <w:bCs/>
      <w:sz w:val="20"/>
      <w:szCs w:val="20"/>
    </w:rPr>
  </w:style>
  <w:style w:type="paragraph" w:styleId="Revision">
    <w:name w:val="Revision"/>
    <w:hidden/>
    <w:uiPriority w:val="99"/>
    <w:semiHidden/>
    <w:rsid w:val="00684136"/>
    <w:pPr>
      <w:spacing w:after="0" w:line="240" w:lineRule="auto"/>
    </w:pPr>
  </w:style>
  <w:style w:type="character" w:styleId="Hyperlink">
    <w:name w:val="Hyperlink"/>
    <w:basedOn w:val="DefaultParagraphFont"/>
    <w:uiPriority w:val="99"/>
    <w:unhideWhenUsed/>
    <w:rsid w:val="000B74B4"/>
    <w:rPr>
      <w:color w:val="0000FF" w:themeColor="hyperlink"/>
      <w:u w:val="single"/>
    </w:rPr>
  </w:style>
  <w:style w:type="paragraph" w:styleId="FootnoteText">
    <w:name w:val="footnote text"/>
    <w:basedOn w:val="Normal"/>
    <w:link w:val="FootnoteTextChar"/>
    <w:uiPriority w:val="99"/>
    <w:semiHidden/>
    <w:unhideWhenUsed/>
    <w:rsid w:val="00E33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8BF"/>
    <w:rPr>
      <w:sz w:val="20"/>
      <w:szCs w:val="20"/>
    </w:rPr>
  </w:style>
  <w:style w:type="character" w:styleId="FootnoteReference">
    <w:name w:val="footnote reference"/>
    <w:semiHidden/>
    <w:rsid w:val="00E338BF"/>
    <w:rPr>
      <w:vertAlign w:val="superscript"/>
    </w:rPr>
  </w:style>
  <w:style w:type="paragraph" w:styleId="NoSpacing">
    <w:name w:val="No Spacing"/>
    <w:uiPriority w:val="1"/>
    <w:qFormat/>
    <w:rsid w:val="00B60D9F"/>
    <w:pPr>
      <w:spacing w:after="0" w:line="240" w:lineRule="auto"/>
    </w:pPr>
  </w:style>
  <w:style w:type="paragraph" w:customStyle="1" w:styleId="Default">
    <w:name w:val="Default"/>
    <w:rsid w:val="006E0D30"/>
    <w:pPr>
      <w:autoSpaceDE w:val="0"/>
      <w:autoSpaceDN w:val="0"/>
      <w:adjustRightInd w:val="0"/>
      <w:spacing w:after="0" w:line="240" w:lineRule="auto"/>
    </w:pPr>
    <w:rPr>
      <w:rFonts w:ascii="EUAlbertina" w:hAnsi="EUAlbertina" w:cs="EUAlbertina"/>
      <w:color w:val="000000"/>
      <w:sz w:val="24"/>
      <w:szCs w:val="24"/>
      <w:lang w:val="en-GB"/>
    </w:rPr>
  </w:style>
  <w:style w:type="paragraph" w:styleId="Header">
    <w:name w:val="header"/>
    <w:basedOn w:val="Normal"/>
    <w:link w:val="HeaderChar"/>
    <w:uiPriority w:val="99"/>
    <w:unhideWhenUsed/>
    <w:rsid w:val="00D54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6B"/>
  </w:style>
  <w:style w:type="paragraph" w:styleId="Footer">
    <w:name w:val="footer"/>
    <w:basedOn w:val="Normal"/>
    <w:link w:val="FooterChar"/>
    <w:uiPriority w:val="99"/>
    <w:unhideWhenUsed/>
    <w:rsid w:val="00D54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6B"/>
  </w:style>
  <w:style w:type="character" w:styleId="FollowedHyperlink">
    <w:name w:val="FollowedHyperlink"/>
    <w:basedOn w:val="DefaultParagraphFont"/>
    <w:uiPriority w:val="99"/>
    <w:semiHidden/>
    <w:unhideWhenUsed/>
    <w:rsid w:val="008760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CommentReference">
    <w:name w:val="annotation reference"/>
    <w:basedOn w:val="DefaultParagraphFont"/>
    <w:uiPriority w:val="99"/>
    <w:semiHidden/>
    <w:unhideWhenUsed/>
    <w:rsid w:val="00981455"/>
    <w:rPr>
      <w:sz w:val="16"/>
      <w:szCs w:val="16"/>
    </w:rPr>
  </w:style>
  <w:style w:type="paragraph" w:styleId="CommentText">
    <w:name w:val="annotation text"/>
    <w:basedOn w:val="Normal"/>
    <w:link w:val="CommentTextChar"/>
    <w:uiPriority w:val="99"/>
    <w:unhideWhenUsed/>
    <w:rsid w:val="00981455"/>
    <w:pPr>
      <w:spacing w:line="240" w:lineRule="auto"/>
    </w:pPr>
    <w:rPr>
      <w:sz w:val="20"/>
      <w:szCs w:val="20"/>
    </w:rPr>
  </w:style>
  <w:style w:type="character" w:customStyle="1" w:styleId="CommentTextChar">
    <w:name w:val="Comment Text Char"/>
    <w:basedOn w:val="DefaultParagraphFont"/>
    <w:link w:val="CommentText"/>
    <w:uiPriority w:val="99"/>
    <w:rsid w:val="00981455"/>
    <w:rPr>
      <w:sz w:val="20"/>
      <w:szCs w:val="20"/>
    </w:rPr>
  </w:style>
  <w:style w:type="paragraph" w:styleId="CommentSubject">
    <w:name w:val="annotation subject"/>
    <w:basedOn w:val="CommentText"/>
    <w:next w:val="CommentText"/>
    <w:link w:val="CommentSubjectChar"/>
    <w:uiPriority w:val="99"/>
    <w:semiHidden/>
    <w:unhideWhenUsed/>
    <w:rsid w:val="00981455"/>
    <w:rPr>
      <w:b/>
      <w:bCs/>
    </w:rPr>
  </w:style>
  <w:style w:type="character" w:customStyle="1" w:styleId="CommentSubjectChar">
    <w:name w:val="Comment Subject Char"/>
    <w:basedOn w:val="CommentTextChar"/>
    <w:link w:val="CommentSubject"/>
    <w:uiPriority w:val="99"/>
    <w:semiHidden/>
    <w:rsid w:val="00981455"/>
    <w:rPr>
      <w:b/>
      <w:bCs/>
      <w:sz w:val="20"/>
      <w:szCs w:val="20"/>
    </w:rPr>
  </w:style>
  <w:style w:type="paragraph" w:styleId="Revision">
    <w:name w:val="Revision"/>
    <w:hidden/>
    <w:uiPriority w:val="99"/>
    <w:semiHidden/>
    <w:rsid w:val="00684136"/>
    <w:pPr>
      <w:spacing w:after="0" w:line="240" w:lineRule="auto"/>
    </w:pPr>
  </w:style>
  <w:style w:type="character" w:styleId="Hyperlink">
    <w:name w:val="Hyperlink"/>
    <w:basedOn w:val="DefaultParagraphFont"/>
    <w:uiPriority w:val="99"/>
    <w:unhideWhenUsed/>
    <w:rsid w:val="000B74B4"/>
    <w:rPr>
      <w:color w:val="0000FF" w:themeColor="hyperlink"/>
      <w:u w:val="single"/>
    </w:rPr>
  </w:style>
  <w:style w:type="paragraph" w:styleId="FootnoteText">
    <w:name w:val="footnote text"/>
    <w:basedOn w:val="Normal"/>
    <w:link w:val="FootnoteTextChar"/>
    <w:uiPriority w:val="99"/>
    <w:semiHidden/>
    <w:unhideWhenUsed/>
    <w:rsid w:val="00E33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8BF"/>
    <w:rPr>
      <w:sz w:val="20"/>
      <w:szCs w:val="20"/>
    </w:rPr>
  </w:style>
  <w:style w:type="character" w:styleId="FootnoteReference">
    <w:name w:val="footnote reference"/>
    <w:semiHidden/>
    <w:rsid w:val="00E338BF"/>
    <w:rPr>
      <w:vertAlign w:val="superscript"/>
    </w:rPr>
  </w:style>
  <w:style w:type="paragraph" w:styleId="NoSpacing">
    <w:name w:val="No Spacing"/>
    <w:uiPriority w:val="1"/>
    <w:qFormat/>
    <w:rsid w:val="00B60D9F"/>
    <w:pPr>
      <w:spacing w:after="0" w:line="240" w:lineRule="auto"/>
    </w:pPr>
  </w:style>
  <w:style w:type="paragraph" w:customStyle="1" w:styleId="Default">
    <w:name w:val="Default"/>
    <w:rsid w:val="006E0D30"/>
    <w:pPr>
      <w:autoSpaceDE w:val="0"/>
      <w:autoSpaceDN w:val="0"/>
      <w:adjustRightInd w:val="0"/>
      <w:spacing w:after="0" w:line="240" w:lineRule="auto"/>
    </w:pPr>
    <w:rPr>
      <w:rFonts w:ascii="EUAlbertina" w:hAnsi="EUAlbertina" w:cs="EUAlbertina"/>
      <w:color w:val="000000"/>
      <w:sz w:val="24"/>
      <w:szCs w:val="24"/>
      <w:lang w:val="en-GB"/>
    </w:rPr>
  </w:style>
  <w:style w:type="paragraph" w:styleId="Header">
    <w:name w:val="header"/>
    <w:basedOn w:val="Normal"/>
    <w:link w:val="HeaderChar"/>
    <w:uiPriority w:val="99"/>
    <w:unhideWhenUsed/>
    <w:rsid w:val="00D54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6B"/>
  </w:style>
  <w:style w:type="paragraph" w:styleId="Footer">
    <w:name w:val="footer"/>
    <w:basedOn w:val="Normal"/>
    <w:link w:val="FooterChar"/>
    <w:uiPriority w:val="99"/>
    <w:unhideWhenUsed/>
    <w:rsid w:val="00D54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6B"/>
  </w:style>
  <w:style w:type="character" w:styleId="FollowedHyperlink">
    <w:name w:val="FollowedHyperlink"/>
    <w:basedOn w:val="DefaultParagraphFont"/>
    <w:uiPriority w:val="99"/>
    <w:semiHidden/>
    <w:unhideWhenUsed/>
    <w:rsid w:val="00876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7081">
      <w:bodyDiv w:val="1"/>
      <w:marLeft w:val="0"/>
      <w:marRight w:val="0"/>
      <w:marTop w:val="0"/>
      <w:marBottom w:val="0"/>
      <w:divBdr>
        <w:top w:val="none" w:sz="0" w:space="0" w:color="auto"/>
        <w:left w:val="none" w:sz="0" w:space="0" w:color="auto"/>
        <w:bottom w:val="none" w:sz="0" w:space="0" w:color="auto"/>
        <w:right w:val="none" w:sz="0" w:space="0" w:color="auto"/>
      </w:divBdr>
    </w:div>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 w:id="1819223783">
      <w:bodyDiv w:val="1"/>
      <w:marLeft w:val="0"/>
      <w:marRight w:val="0"/>
      <w:marTop w:val="0"/>
      <w:marBottom w:val="0"/>
      <w:divBdr>
        <w:top w:val="none" w:sz="0" w:space="0" w:color="auto"/>
        <w:left w:val="none" w:sz="0" w:space="0" w:color="auto"/>
        <w:bottom w:val="none" w:sz="0" w:space="0" w:color="auto"/>
        <w:right w:val="none" w:sz="0" w:space="0" w:color="auto"/>
      </w:divBdr>
    </w:div>
    <w:div w:id="19443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hyperlink" Target="http://www.acer.europa.eu/The_agency/Organisation/Pages/ACER-departments.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1" Type="http://schemas.openxmlformats.org/officeDocument/2006/relationships/hyperlink" Target="http://www.acer.europa.eu/The_agency/Organisation/Pages/ACER-director.aspx" TargetMode="Externa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S:/ACER%20Departments/Director's/Director's%20staff/ACER%20Managers" TargetMode="External"/><Relationship Id="rId4" Type="http://schemas.microsoft.com/office/2007/relationships/stylesWithEffects" Target="stylesWithEffects.xml"/><Relationship Id="rId9" Type="http://schemas.openxmlformats.org/officeDocument/2006/relationships/hyperlink" Target="mailto:remit@acer.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ACER-2017-77024</_dlc_DocId>
    <_dlc_DocIdUrl xmlns="985daa2e-53d8-4475-82b8-9c7d25324e34">
      <Url>http://extranet.acer.europa.eu/Media/_layouts/15/DocIdRedir.aspx?ID=ACER-2017-77024</Url>
      <Description>ACER-2017-77024</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Props1.xml><?xml version="1.0" encoding="utf-8"?>
<ds:datastoreItem xmlns:ds="http://schemas.openxmlformats.org/officeDocument/2006/customXml" ds:itemID="{61C03D85-1123-4E8D-9ECA-9BA890FF6DD3}"/>
</file>

<file path=customXml/itemProps2.xml><?xml version="1.0" encoding="utf-8"?>
<ds:datastoreItem xmlns:ds="http://schemas.openxmlformats.org/officeDocument/2006/customXml" ds:itemID="{81E8D4A3-CBFE-4106-ACF3-FE57D0506DB1}"/>
</file>

<file path=customXml/itemProps3.xml><?xml version="1.0" encoding="utf-8"?>
<ds:datastoreItem xmlns:ds="http://schemas.openxmlformats.org/officeDocument/2006/customXml" ds:itemID="{02114E57-960E-4C10-AEC6-6A6C483627E4}"/>
</file>

<file path=customXml/itemProps4.xml><?xml version="1.0" encoding="utf-8"?>
<ds:datastoreItem xmlns:ds="http://schemas.openxmlformats.org/officeDocument/2006/customXml" ds:itemID="{46DF2529-2F78-4EAE-B095-7B8F1B5DEC27}"/>
</file>

<file path=customXml/itemProps5.xml><?xml version="1.0" encoding="utf-8"?>
<ds:datastoreItem xmlns:ds="http://schemas.openxmlformats.org/officeDocument/2006/customXml" ds:itemID="{02114E57-960E-4C10-AEC6-6A6C483627E4}"/>
</file>

<file path=customXml/itemProps6.xml><?xml version="1.0" encoding="utf-8"?>
<ds:datastoreItem xmlns:ds="http://schemas.openxmlformats.org/officeDocument/2006/customXml" ds:itemID="{5382DA2D-D3DE-4A85-8D1D-2F5E83567952}"/>
</file>

<file path=customXml/itemProps7.xml><?xml version="1.0" encoding="utf-8"?>
<ds:datastoreItem xmlns:ds="http://schemas.openxmlformats.org/officeDocument/2006/customXml" ds:itemID="{45D54DA1-E25D-45EC-A1C9-CFE43A786C85}"/>
</file>

<file path=docProps/app.xml><?xml version="1.0" encoding="utf-8"?>
<Properties xmlns="http://schemas.openxmlformats.org/officeDocument/2006/extended-properties" xmlns:vt="http://schemas.openxmlformats.org/officeDocument/2006/docPropsVTypes">
  <Template>Normal</Template>
  <TotalTime>3</TotalTime>
  <Pages>8</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Stefano Vaona (ACER)</cp:lastModifiedBy>
  <cp:revision>3</cp:revision>
  <cp:lastPrinted>2014-10-07T07:36:00Z</cp:lastPrinted>
  <dcterms:created xsi:type="dcterms:W3CDTF">2014-10-13T13:56:00Z</dcterms:created>
  <dcterms:modified xsi:type="dcterms:W3CDTF">2014-10-13T13:57:00Z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8004b76a-5106-4a81-972f-933141a3acaa</vt:lpwstr>
  </property>
  <property fmtid="{D5CDD505-2E9C-101B-9397-08002B2CF9AE}" pid="3" name="ContentTypeId">
    <vt:lpwstr>0x0101001AE9DD38BBCCB94CB488FFC588F99A7B</vt:lpwstr>
  </property>
</Properties>
</file>